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C3" w:rsidRPr="00C60D73" w:rsidRDefault="00BD39C3" w:rsidP="00BD39C3">
      <w:pPr>
        <w:spacing w:after="240"/>
        <w:jc w:val="center"/>
        <w:rPr>
          <w:b/>
          <w:bCs/>
          <w:sz w:val="32"/>
          <w:szCs w:val="32"/>
        </w:rPr>
      </w:pPr>
      <w:r w:rsidRPr="00C60D73">
        <w:rPr>
          <w:b/>
          <w:sz w:val="32"/>
          <w:szCs w:val="32"/>
        </w:rPr>
        <w:t>Opšti uslovi ugovora</w:t>
      </w:r>
    </w:p>
    <w:tbl>
      <w:tblPr>
        <w:tblW w:w="0" w:type="auto"/>
        <w:tblLayout w:type="fixed"/>
        <w:tblLook w:val="0000"/>
      </w:tblPr>
      <w:tblGrid>
        <w:gridCol w:w="18"/>
        <w:gridCol w:w="2250"/>
        <w:gridCol w:w="6930"/>
        <w:gridCol w:w="18"/>
      </w:tblGrid>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0" w:name="_Toc333312149"/>
            <w:r w:rsidRPr="00C60D73">
              <w:t>Termini i definicije</w:t>
            </w:r>
            <w:bookmarkEnd w:id="0"/>
          </w:p>
        </w:tc>
        <w:tc>
          <w:tcPr>
            <w:tcW w:w="6948" w:type="dxa"/>
            <w:gridSpan w:val="2"/>
          </w:tcPr>
          <w:p w:rsidR="00BD39C3" w:rsidRPr="00C60D73" w:rsidRDefault="00BD39C3" w:rsidP="00B31C85">
            <w:pPr>
              <w:pStyle w:val="Sub-ClauseText"/>
              <w:spacing w:before="0" w:after="200"/>
              <w:ind w:left="612" w:hanging="612"/>
              <w:rPr>
                <w:spacing w:val="0"/>
              </w:rPr>
            </w:pPr>
            <w:r w:rsidRPr="00C60D73">
              <w:rPr>
                <w:spacing w:val="0"/>
              </w:rPr>
              <w:t>1.1.</w:t>
            </w:r>
            <w:r w:rsidRPr="00C60D73">
              <w:rPr>
                <w:spacing w:val="0"/>
              </w:rPr>
              <w:tab/>
              <w:t>Sledeće reči i izrazi imaju značenja koja im se ovim pripisuju:</w:t>
            </w:r>
          </w:p>
          <w:p w:rsidR="00BD39C3" w:rsidRPr="00C60D73" w:rsidRDefault="00BD39C3" w:rsidP="00BD39C3">
            <w:pPr>
              <w:pStyle w:val="Heading3"/>
              <w:numPr>
                <w:ilvl w:val="2"/>
                <w:numId w:val="9"/>
              </w:numPr>
            </w:pPr>
            <w:r w:rsidRPr="00C60D73">
              <w:t>„Ba</w:t>
            </w:r>
            <w:r w:rsidR="00912B21" w:rsidRPr="00C60D73">
              <w:t>nka“ znači Razvojna</w:t>
            </w:r>
            <w:r w:rsidRPr="00C60D73">
              <w:t xml:space="preserve"> banka</w:t>
            </w:r>
            <w:r w:rsidR="00912B21" w:rsidRPr="00C60D73">
              <w:t xml:space="preserve"> Saveta Evrope</w:t>
            </w:r>
            <w:r w:rsidRPr="00C60D73">
              <w:t>.</w:t>
            </w:r>
          </w:p>
          <w:p w:rsidR="00BD39C3" w:rsidRPr="00C60D73" w:rsidRDefault="00BD39C3" w:rsidP="00BD39C3">
            <w:pPr>
              <w:pStyle w:val="Heading3"/>
              <w:numPr>
                <w:ilvl w:val="2"/>
                <w:numId w:val="9"/>
              </w:numPr>
            </w:pPr>
            <w:r w:rsidRPr="00C60D73">
              <w:t>„Ugovor“ znači ugovorni sporazum koji se zaključuje između naručioca i dobavljača, zajedno sa ugovornom dokumentacijom</w:t>
            </w:r>
            <w:bookmarkStart w:id="1" w:name="_GoBack"/>
            <w:bookmarkEnd w:id="1"/>
            <w:r w:rsidRPr="00C60D73">
              <w:t xml:space="preserve"> na koju se poziva, uključujući sve dodatke, priloge i sva dokumenta koja su sjedinjena sa njim. </w:t>
            </w:r>
          </w:p>
          <w:p w:rsidR="00BD39C3" w:rsidRPr="00C60D73" w:rsidRDefault="00BD39C3" w:rsidP="00BD39C3">
            <w:pPr>
              <w:pStyle w:val="Heading3"/>
              <w:numPr>
                <w:ilvl w:val="2"/>
                <w:numId w:val="9"/>
              </w:numPr>
            </w:pPr>
            <w:r w:rsidRPr="00C60D73">
              <w:t>„Ugovorna dokumenta“ označavaju dokumenta koja su navedena u ugovornom sporazumu, uključujući i njegove dopune.</w:t>
            </w:r>
          </w:p>
          <w:p w:rsidR="00BD39C3" w:rsidRPr="00C60D73" w:rsidRDefault="00BD39C3" w:rsidP="00BD39C3">
            <w:pPr>
              <w:pStyle w:val="Heading3"/>
              <w:numPr>
                <w:ilvl w:val="2"/>
                <w:numId w:val="9"/>
              </w:numPr>
            </w:pPr>
            <w:r w:rsidRPr="00C60D73">
              <w:t xml:space="preserve">„Ugovorna cena“ znači cena koja se plaća dobavljaču onako kako je to navedeno u ugovornom sporazumu, podložna takvim dodacima i prilagođavanjem ili oduzimanjem od njih koji se mogu činiti shodno ugovoru. </w:t>
            </w:r>
          </w:p>
          <w:p w:rsidR="00BD39C3" w:rsidRPr="00C60D73" w:rsidRDefault="00BD39C3" w:rsidP="00BD39C3">
            <w:pPr>
              <w:pStyle w:val="Heading3"/>
              <w:numPr>
                <w:ilvl w:val="2"/>
                <w:numId w:val="9"/>
              </w:numPr>
            </w:pPr>
            <w:r w:rsidRPr="00C60D73">
              <w:t>„Dan“ znači kalendarski dan.</w:t>
            </w:r>
          </w:p>
          <w:p w:rsidR="00BD39C3" w:rsidRPr="00C60D73" w:rsidRDefault="00BD39C3" w:rsidP="00BD39C3">
            <w:pPr>
              <w:pStyle w:val="Heading3"/>
              <w:numPr>
                <w:ilvl w:val="2"/>
                <w:numId w:val="9"/>
              </w:numPr>
            </w:pPr>
            <w:r w:rsidRPr="00C60D73">
              <w:t xml:space="preserve"> „Završetak“ znači ispunjenje dobavljačevih pratećih usluga u skladu sa uslovima i pretpostavkama navedenim u ugovoru. </w:t>
            </w:r>
          </w:p>
          <w:p w:rsidR="00BD39C3" w:rsidRPr="00C60D73" w:rsidRDefault="00BD39C3" w:rsidP="00BD39C3">
            <w:pPr>
              <w:pStyle w:val="Heading3"/>
              <w:numPr>
                <w:ilvl w:val="2"/>
                <w:numId w:val="9"/>
              </w:numPr>
            </w:pPr>
            <w:r w:rsidRPr="00C60D73">
              <w:t>„OUU“ znači opšti uslovi ugovora.</w:t>
            </w:r>
          </w:p>
          <w:p w:rsidR="00BD39C3" w:rsidRPr="00C60D73" w:rsidRDefault="00BD39C3" w:rsidP="00BD39C3">
            <w:pPr>
              <w:pStyle w:val="Heading3"/>
              <w:numPr>
                <w:ilvl w:val="2"/>
                <w:numId w:val="9"/>
              </w:numPr>
            </w:pPr>
            <w:r w:rsidRPr="00C60D73">
              <w:t>„Dobra“ znači sve artikle, sirovine, mašineriju i opremu, i/ili druge materijale tražene da bi njima dobavljač snabdeo naručioca prema ugovoru.</w:t>
            </w:r>
          </w:p>
          <w:p w:rsidR="00BD39C3" w:rsidRPr="00C60D73" w:rsidRDefault="00BD39C3" w:rsidP="00BD39C3">
            <w:pPr>
              <w:pStyle w:val="Heading3"/>
              <w:numPr>
                <w:ilvl w:val="2"/>
                <w:numId w:val="9"/>
              </w:numPr>
            </w:pPr>
            <w:r w:rsidRPr="00C60D73">
              <w:t>„Zemlja naručioca“ je zemlja naznačena u posebnim uslovima ugovora (PUU).</w:t>
            </w:r>
          </w:p>
          <w:p w:rsidR="00BD39C3" w:rsidRPr="00C60D73" w:rsidRDefault="00BD39C3" w:rsidP="00BD39C3">
            <w:pPr>
              <w:pStyle w:val="Heading3"/>
              <w:numPr>
                <w:ilvl w:val="2"/>
                <w:numId w:val="9"/>
              </w:numPr>
              <w:spacing w:after="180"/>
            </w:pPr>
            <w:r w:rsidRPr="00C60D73">
              <w:t xml:space="preserve">„Naručilac“ znači pravno lice koje nabavlja robu i prateće usluge, onako kako je to navedeno u uslovima </w:t>
            </w:r>
            <w:r w:rsidRPr="00C60D73">
              <w:rPr>
                <w:b/>
              </w:rPr>
              <w:t>PUU</w:t>
            </w:r>
            <w:r w:rsidRPr="00C60D73">
              <w:t>.</w:t>
            </w:r>
          </w:p>
          <w:p w:rsidR="00BD39C3" w:rsidRPr="00C60D73" w:rsidRDefault="00BD39C3" w:rsidP="00BD39C3">
            <w:pPr>
              <w:pStyle w:val="Heading3"/>
              <w:numPr>
                <w:ilvl w:val="2"/>
                <w:numId w:val="9"/>
              </w:numPr>
              <w:spacing w:after="180"/>
            </w:pPr>
            <w:r w:rsidRPr="00C60D73">
              <w:t>„Prateće usluge“ znače usluge koje prate nabavku dobara, kao što su osiguranje, ugradnja, obuka i početno održavanje ili druge takve obaveze dobavljača prema ugovoru.</w:t>
            </w:r>
          </w:p>
          <w:p w:rsidR="00BD39C3" w:rsidRPr="00C60D73" w:rsidRDefault="00BD39C3" w:rsidP="00BD39C3">
            <w:pPr>
              <w:pStyle w:val="Heading3"/>
              <w:numPr>
                <w:ilvl w:val="2"/>
                <w:numId w:val="9"/>
              </w:numPr>
              <w:spacing w:after="220"/>
            </w:pPr>
            <w:r w:rsidRPr="00C60D73">
              <w:t>„PUU“ znači posebni uslovi ugovora.</w:t>
            </w:r>
          </w:p>
          <w:p w:rsidR="00BD39C3" w:rsidRPr="00C60D73" w:rsidRDefault="00BD39C3" w:rsidP="00BD39C3">
            <w:pPr>
              <w:pStyle w:val="Heading3"/>
              <w:numPr>
                <w:ilvl w:val="2"/>
                <w:numId w:val="9"/>
              </w:numPr>
              <w:spacing w:after="220"/>
            </w:pPr>
            <w:r w:rsidRPr="00C60D73">
              <w:t>„Podizvođač“ znači fizičko lice, privatno ili državno pravno lice, ili njihovu kombinaciju, sa kojim dobavljač ugovara dobra koja se nabavljaju ili izvršenje bilo kog dela pratećih usluga.</w:t>
            </w:r>
          </w:p>
          <w:p w:rsidR="00BD39C3" w:rsidRPr="00C60D73" w:rsidRDefault="00BD39C3" w:rsidP="00BD39C3">
            <w:pPr>
              <w:pStyle w:val="Heading3"/>
              <w:numPr>
                <w:ilvl w:val="2"/>
                <w:numId w:val="9"/>
              </w:numPr>
              <w:spacing w:after="220"/>
              <w:rPr>
                <w:spacing w:val="-4"/>
              </w:rPr>
            </w:pPr>
            <w:r w:rsidRPr="00C60D73">
              <w:rPr>
                <w:spacing w:val="-4"/>
              </w:rPr>
              <w:t xml:space="preserve">"Dobavljač" znači znači fizičko lice, privatno ili državno </w:t>
            </w:r>
            <w:r w:rsidRPr="00C60D73">
              <w:rPr>
                <w:spacing w:val="-4"/>
              </w:rPr>
              <w:lastRenderedPageBreak/>
              <w:t>pravno lice, ili njihovu kombinaciju, čiju je ponudu za izvršenje ugovora prihvatio naručilac i kao takvo je navedeno u ugovornom sporazumu.</w:t>
            </w:r>
          </w:p>
          <w:p w:rsidR="00BD39C3" w:rsidRPr="00C60D73" w:rsidRDefault="00BD39C3" w:rsidP="00BD39C3">
            <w:pPr>
              <w:pStyle w:val="Heading3"/>
              <w:numPr>
                <w:ilvl w:val="2"/>
                <w:numId w:val="9"/>
              </w:numPr>
              <w:spacing w:after="220"/>
            </w:pPr>
            <w:r w:rsidRPr="00C60D73">
              <w:t xml:space="preserve">„Mesto projekta“, onda kada je to primenjivo, znači mesto imenovano u uslovima </w:t>
            </w:r>
            <w:r w:rsidRPr="00C60D73">
              <w:rPr>
                <w:b/>
              </w:rPr>
              <w:t>PUU.</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2" w:name="_Toc333312150"/>
            <w:r w:rsidRPr="00C60D73">
              <w:lastRenderedPageBreak/>
              <w:t>Ugovorna dokumenta</w:t>
            </w:r>
            <w:bookmarkEnd w:id="2"/>
          </w:p>
        </w:tc>
        <w:tc>
          <w:tcPr>
            <w:tcW w:w="6948" w:type="dxa"/>
            <w:gridSpan w:val="2"/>
          </w:tcPr>
          <w:p w:rsidR="00BD39C3" w:rsidRPr="00C60D73" w:rsidRDefault="00BD39C3" w:rsidP="00BD39C3">
            <w:pPr>
              <w:pStyle w:val="Sub-ClauseText"/>
              <w:numPr>
                <w:ilvl w:val="1"/>
                <w:numId w:val="8"/>
              </w:numPr>
              <w:spacing w:before="0" w:after="220"/>
              <w:ind w:left="605" w:hanging="605"/>
              <w:rPr>
                <w:spacing w:val="0"/>
              </w:rPr>
            </w:pPr>
            <w:r w:rsidRPr="00C60D73">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3" w:name="_Toc333312151"/>
            <w:r w:rsidRPr="00C60D73">
              <w:t>Prevara i korupcija</w:t>
            </w:r>
            <w:bookmarkEnd w:id="3"/>
          </w:p>
        </w:tc>
        <w:tc>
          <w:tcPr>
            <w:tcW w:w="6948" w:type="dxa"/>
            <w:gridSpan w:val="2"/>
          </w:tcPr>
          <w:p w:rsidR="00BD39C3" w:rsidRPr="00C60D73" w:rsidRDefault="00BD39C3" w:rsidP="00BD39C3">
            <w:pPr>
              <w:pStyle w:val="Sub-ClauseText"/>
              <w:numPr>
                <w:ilvl w:val="1"/>
                <w:numId w:val="48"/>
              </w:numPr>
              <w:spacing w:before="0" w:after="220"/>
              <w:rPr>
                <w:spacing w:val="0"/>
              </w:rPr>
            </w:pPr>
            <w:r w:rsidRPr="00C60D73">
              <w:rPr>
                <w:spacing w:val="0"/>
              </w:rPr>
              <w:t>Banka zahteva da se primalac (uključujući korisnike bančinih donacija), kao i ponuđači, dobavljači, izvođači i konsultanti na ugovorima koje banka finansira drže najviših etičkih standarda za vreme nabavke ili izvršavanja takvih ugovora. Radi ostvarenja ove politike, banka:</w:t>
            </w:r>
          </w:p>
          <w:p w:rsidR="00BD39C3" w:rsidRPr="00C60D73" w:rsidRDefault="00BD39C3" w:rsidP="00BD39C3">
            <w:pPr>
              <w:pStyle w:val="Heading3"/>
              <w:numPr>
                <w:ilvl w:val="2"/>
                <w:numId w:val="48"/>
              </w:numPr>
              <w:spacing w:after="220"/>
            </w:pPr>
            <w:r w:rsidRPr="00C60D73">
              <w:t>definiše, zarad ove odredbe, izraze koji su određeni kao što sledi:</w:t>
            </w:r>
          </w:p>
          <w:p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„korupcionaška praksa“ označava nuđenje, davanje, primanje, ili traženje, neposredno ili posredno, bilo čega vrednog da bi se izvršio uticaj na delovanje javnog službenika u procesu nabavke ili izvršenja ugovora; i</w:t>
            </w:r>
          </w:p>
          <w:p w:rsidR="00BD39C3" w:rsidRPr="00C60D73" w:rsidRDefault="00BD39C3" w:rsidP="00BD39C3">
            <w:pPr>
              <w:pStyle w:val="Heading4"/>
              <w:numPr>
                <w:ilvl w:val="3"/>
                <w:numId w:val="10"/>
              </w:numPr>
              <w:tabs>
                <w:tab w:val="clear" w:pos="1901"/>
                <w:tab w:val="num" w:pos="1692"/>
              </w:tabs>
              <w:spacing w:before="0" w:after="220"/>
              <w:ind w:left="1685" w:hanging="504"/>
              <w:rPr>
                <w:spacing w:val="0"/>
              </w:rPr>
            </w:pPr>
            <w:r w:rsidRPr="00C60D73">
              <w:rPr>
                <w:spacing w:val="0"/>
              </w:rPr>
              <w:t xml:space="preserve">„nepoštena praksa“ označava krivo predstavljanje ili nedavanje činjenica da bi se uticalo na proces nabake ili izvršenje ugovora; </w:t>
            </w:r>
          </w:p>
          <w:p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„praksa nameštanja“ označava šeme ili dogovore između dva ili više ponuđača, sa ili bez znanja primaoca, smišljene da bi se utvrdile veštačke ili nekonkurentne cene za ponudu; ili</w:t>
            </w:r>
          </w:p>
          <w:p w:rsidR="00BD39C3" w:rsidRPr="00C60D73" w:rsidRDefault="00BD39C3" w:rsidP="00BD39C3">
            <w:pPr>
              <w:pStyle w:val="Heading4"/>
              <w:numPr>
                <w:ilvl w:val="3"/>
                <w:numId w:val="10"/>
              </w:numPr>
              <w:tabs>
                <w:tab w:val="clear" w:pos="1901"/>
                <w:tab w:val="num" w:pos="1692"/>
              </w:tabs>
              <w:spacing w:before="0" w:after="180"/>
              <w:ind w:left="1692" w:hanging="511"/>
            </w:pPr>
            <w:r w:rsidRPr="00C60D73">
              <w:t>„praksa prinude“ označava nanošenje štete ili pretnju nanošenjem štete, neposredno ili posredno, licima ili njihovoj svojini da bi se izvršio uticaj na njihovo učestvovanje u procesu nabavke ili da bi se uticalo na izvršavanje ugovora;</w:t>
            </w:r>
          </w:p>
          <w:p w:rsidR="00BD39C3" w:rsidRPr="00C60D73" w:rsidRDefault="00BD39C3" w:rsidP="00BD39C3">
            <w:pPr>
              <w:pStyle w:val="Heading3"/>
              <w:numPr>
                <w:ilvl w:val="2"/>
                <w:numId w:val="49"/>
              </w:numPr>
              <w:spacing w:after="180"/>
            </w:pPr>
            <w:r w:rsidRPr="00C60D73">
              <w:t>otkazaće deo donacije koji je namenjen za ugovor ukoliko u bilo kom trenutku utvrdi da su predstavnici primaoca ili korisnika zajma uključeni u korupcionašku, nepoštenu, praksu nameštanja ili prinude za vreme nabavke ili izvršenja ovog ugovora, a da primalac nije preduzeo blagovremene i odgovarajuće radnje koje bi ispravile situaciju na onaj način koji odgovara zahtevima banke;</w:t>
            </w:r>
          </w:p>
          <w:p w:rsidR="00BD39C3" w:rsidRPr="00C60D73" w:rsidRDefault="00BD39C3" w:rsidP="00BD39C3">
            <w:pPr>
              <w:pStyle w:val="Heading3"/>
              <w:numPr>
                <w:ilvl w:val="2"/>
                <w:numId w:val="49"/>
              </w:numPr>
              <w:spacing w:after="180"/>
            </w:pPr>
            <w:r w:rsidRPr="00C60D73">
              <w:lastRenderedPageBreak/>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BD39C3" w:rsidRPr="00C60D73" w:rsidRDefault="00BD39C3" w:rsidP="00BD39C3">
            <w:pPr>
              <w:pStyle w:val="Heading3"/>
              <w:numPr>
                <w:ilvl w:val="2"/>
                <w:numId w:val="49"/>
              </w:numPr>
              <w:spacing w:after="180"/>
            </w:pPr>
            <w:r w:rsidRPr="00C60D73">
              <w:t>imaće pravo da zahteva da dobavljači dozvole banci da izvrši proveru njihovih računa i evidencije i ostalih dokumenata koji se tiču podnošenja ponude i izvršenja ugovora i da ih daju na reviziju revizorima koje banka imenuje.</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4" w:name="_Toc333312152"/>
            <w:r w:rsidRPr="00C60D73">
              <w:lastRenderedPageBreak/>
              <w:t>Tumačenje</w:t>
            </w:r>
            <w:bookmarkEnd w:id="4"/>
          </w:p>
        </w:tc>
        <w:tc>
          <w:tcPr>
            <w:tcW w:w="6948" w:type="dxa"/>
            <w:gridSpan w:val="2"/>
          </w:tcPr>
          <w:p w:rsidR="00BD39C3" w:rsidRPr="00C60D73" w:rsidRDefault="00BD39C3" w:rsidP="00BD39C3">
            <w:pPr>
              <w:pStyle w:val="Sub-ClauseText"/>
              <w:numPr>
                <w:ilvl w:val="1"/>
                <w:numId w:val="11"/>
              </w:numPr>
              <w:spacing w:before="0" w:after="220"/>
            </w:pPr>
            <w:r w:rsidRPr="00C60D73">
              <w:t>Ukoliko se u kontekstu tako traži, „jednina“ označava „množinu“ i obrnuto; a</w:t>
            </w:r>
          </w:p>
          <w:p w:rsidR="00BD39C3" w:rsidRPr="00C60D73" w:rsidRDefault="00BD39C3" w:rsidP="00BD39C3">
            <w:pPr>
              <w:pStyle w:val="Sub-ClauseText"/>
              <w:numPr>
                <w:ilvl w:val="1"/>
                <w:numId w:val="11"/>
              </w:numPr>
              <w:spacing w:before="0" w:after="220"/>
              <w:rPr>
                <w:spacing w:val="0"/>
              </w:rPr>
            </w:pPr>
            <w:r w:rsidRPr="00C60D73">
              <w:rPr>
                <w:spacing w:val="0"/>
              </w:rPr>
              <w:t xml:space="preserve">Međunarodni propisi </w:t>
            </w:r>
            <w:r w:rsidRPr="00C60D73">
              <w:rPr>
                <w:i/>
                <w:spacing w:val="0"/>
              </w:rPr>
              <w:t>Incoterms</w:t>
            </w:r>
          </w:p>
          <w:p w:rsidR="00BD39C3" w:rsidRPr="00C60D73" w:rsidRDefault="00BD39C3" w:rsidP="00BD39C3">
            <w:pPr>
              <w:pStyle w:val="Heading3"/>
              <w:numPr>
                <w:ilvl w:val="2"/>
                <w:numId w:val="38"/>
              </w:numPr>
              <w:spacing w:after="220"/>
            </w:pPr>
            <w:r w:rsidRPr="00C60D73">
              <w:t xml:space="preserve">Ukoliko nema nedoslednosti sa odredbama ugovora, značenje svakog trgovinskog izraza i prava i obaveze strana u njemu će biti onako kako je to predviđeno u međunarodnim propisima </w:t>
            </w:r>
            <w:r w:rsidRPr="00C60D73">
              <w:rPr>
                <w:i/>
              </w:rPr>
              <w:t>Incoterms</w:t>
            </w:r>
            <w:r w:rsidRPr="00C60D73">
              <w:t>.</w:t>
            </w:r>
          </w:p>
          <w:p w:rsidR="00BD39C3" w:rsidRPr="00C60D73" w:rsidRDefault="00BD39C3" w:rsidP="00BD39C3">
            <w:pPr>
              <w:pStyle w:val="Heading3"/>
              <w:numPr>
                <w:ilvl w:val="2"/>
                <w:numId w:val="38"/>
              </w:numPr>
              <w:spacing w:after="220"/>
            </w:pPr>
            <w:r w:rsidRPr="00C60D73">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60D73">
              <w:rPr>
                <w:i/>
              </w:rPr>
              <w:t>Incoterms</w:t>
            </w:r>
            <w:r w:rsidRPr="00C60D73">
              <w:t>, onako kako su naznačeni uuslovima</w:t>
            </w:r>
            <w:r w:rsidRPr="00C60D73">
              <w:rPr>
                <w:b/>
              </w:rPr>
              <w:t xml:space="preserve"> PUU </w:t>
            </w:r>
            <w:r w:rsidRPr="00C60D73">
              <w:t>i koje je izdala Međunarodna trgovinska komora u Parizu, u Francuskoj.</w:t>
            </w:r>
          </w:p>
          <w:p w:rsidR="00BD39C3" w:rsidRPr="00C60D73" w:rsidRDefault="00BD39C3" w:rsidP="00BD39C3">
            <w:pPr>
              <w:pStyle w:val="Sub-ClauseText"/>
              <w:numPr>
                <w:ilvl w:val="1"/>
                <w:numId w:val="11"/>
              </w:numPr>
              <w:spacing w:before="0" w:after="220"/>
              <w:rPr>
                <w:spacing w:val="0"/>
              </w:rPr>
            </w:pPr>
            <w:r w:rsidRPr="00C60D73">
              <w:rPr>
                <w:spacing w:val="0"/>
              </w:rPr>
              <w:t>Celokupni sporazum</w:t>
            </w:r>
          </w:p>
          <w:p w:rsidR="00BD39C3" w:rsidRPr="00C60D73" w:rsidRDefault="00BD39C3" w:rsidP="00B31C85">
            <w:pPr>
              <w:pStyle w:val="Sub-ClauseText"/>
              <w:spacing w:before="0" w:after="220"/>
              <w:ind w:left="600"/>
              <w:rPr>
                <w:spacing w:val="0"/>
              </w:rPr>
            </w:pPr>
            <w:r w:rsidRPr="00C60D73">
              <w:rPr>
                <w:spacing w:val="0"/>
              </w:rPr>
              <w:t>Ugovor čini celokupni sporazum između naručioca i dobavljača i zamenjuje svu komunikaciju, pregovore i sporazume (pisane ili usmene) strana u pogledu ovog koji su učinjeni pre datuma ugovora.</w:t>
            </w:r>
          </w:p>
          <w:p w:rsidR="00BD39C3" w:rsidRPr="00C60D73" w:rsidRDefault="00BD39C3" w:rsidP="00BD39C3">
            <w:pPr>
              <w:pStyle w:val="Sub-ClauseText"/>
              <w:numPr>
                <w:ilvl w:val="1"/>
                <w:numId w:val="11"/>
              </w:numPr>
              <w:spacing w:before="0" w:after="220"/>
              <w:ind w:left="605"/>
              <w:rPr>
                <w:spacing w:val="0"/>
              </w:rPr>
            </w:pPr>
            <w:r w:rsidRPr="00C60D73">
              <w:rPr>
                <w:spacing w:val="0"/>
              </w:rPr>
              <w:t>Dopuna</w:t>
            </w:r>
          </w:p>
          <w:p w:rsidR="00BD39C3" w:rsidRPr="00C60D73" w:rsidRDefault="00BD39C3" w:rsidP="00B31C85">
            <w:pPr>
              <w:pStyle w:val="Sub-ClauseText"/>
              <w:spacing w:before="0" w:after="180"/>
              <w:ind w:left="605"/>
              <w:rPr>
                <w:spacing w:val="0"/>
              </w:rPr>
            </w:pPr>
            <w:r w:rsidRPr="00C60D73">
              <w:rPr>
                <w:spacing w:val="0"/>
              </w:rPr>
              <w:t>Nijedna dopuna ili druga varijanta ugovora nije punovažna ukoliko nije napisana, datumirana i ukoliko se izrazito ne odnosi na ugovor, kao i ako je nije potpisao propisno ovlašćeni predstavnik svake strane .</w:t>
            </w:r>
          </w:p>
          <w:p w:rsidR="00BD39C3" w:rsidRPr="00C60D73" w:rsidRDefault="00BD39C3" w:rsidP="00BD39C3">
            <w:pPr>
              <w:pStyle w:val="Sub-ClauseText"/>
              <w:numPr>
                <w:ilvl w:val="1"/>
                <w:numId w:val="11"/>
              </w:numPr>
              <w:spacing w:before="0" w:after="180"/>
              <w:rPr>
                <w:spacing w:val="0"/>
              </w:rPr>
            </w:pPr>
            <w:r w:rsidRPr="00C60D73">
              <w:rPr>
                <w:spacing w:val="0"/>
              </w:rPr>
              <w:t>Neodricanje od prava</w:t>
            </w:r>
          </w:p>
          <w:p w:rsidR="00BD39C3" w:rsidRPr="00C60D73" w:rsidRDefault="00BD39C3" w:rsidP="00BD39C3">
            <w:pPr>
              <w:pStyle w:val="Heading3"/>
              <w:numPr>
                <w:ilvl w:val="2"/>
                <w:numId w:val="39"/>
              </w:numPr>
              <w:spacing w:after="180"/>
            </w:pPr>
            <w:r w:rsidRPr="00C60D73">
              <w:t xml:space="preserve">Podložno uslovima OUU, potklauzula 4.5(b) u daljem </w:t>
            </w:r>
            <w:r w:rsidRPr="00C60D73">
              <w:lastRenderedPageBreak/>
              <w:t>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BD39C3" w:rsidRPr="00C60D73" w:rsidRDefault="00BD39C3" w:rsidP="00BD39C3">
            <w:pPr>
              <w:pStyle w:val="Heading3"/>
              <w:numPr>
                <w:ilvl w:val="2"/>
                <w:numId w:val="39"/>
              </w:numPr>
              <w:spacing w:after="180"/>
            </w:pPr>
            <w:r w:rsidRPr="00C60D73">
              <w:t>Svako odricanje of prava jedne strane, ovlašćenja, ili pravnih lekova prema ugovoru mora biti pisano, datumirano, mora ga potpisati ovlašćeni predstavnik te strane, čime se odobrava to odricanje, i mora se odrediti pravo i obim u kome se odriče.</w:t>
            </w:r>
          </w:p>
          <w:p w:rsidR="00BD39C3" w:rsidRPr="00C60D73" w:rsidRDefault="00BD39C3" w:rsidP="00BD39C3">
            <w:pPr>
              <w:pStyle w:val="Sub-ClauseText"/>
              <w:numPr>
                <w:ilvl w:val="1"/>
                <w:numId w:val="11"/>
              </w:numPr>
              <w:spacing w:before="0" w:after="180"/>
              <w:ind w:left="605" w:hanging="605"/>
              <w:rPr>
                <w:spacing w:val="0"/>
              </w:rPr>
            </w:pPr>
            <w:r w:rsidRPr="00C60D73">
              <w:rPr>
                <w:spacing w:val="0"/>
              </w:rPr>
              <w:t>Razdvojivost odredbi</w:t>
            </w:r>
          </w:p>
          <w:p w:rsidR="00BD39C3" w:rsidRPr="00C60D73" w:rsidRDefault="00BD39C3" w:rsidP="00B31C85">
            <w:pPr>
              <w:pStyle w:val="Sub-ClauseText"/>
              <w:spacing w:before="0" w:after="180"/>
              <w:ind w:left="600"/>
              <w:rPr>
                <w:spacing w:val="0"/>
              </w:rPr>
            </w:pPr>
            <w:r w:rsidRPr="00C60D73">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5" w:name="_Toc333312153"/>
            <w:r w:rsidRPr="00C60D73">
              <w:lastRenderedPageBreak/>
              <w:t>Jezik</w:t>
            </w:r>
            <w:bookmarkEnd w:id="5"/>
          </w:p>
        </w:tc>
        <w:tc>
          <w:tcPr>
            <w:tcW w:w="6948" w:type="dxa"/>
            <w:gridSpan w:val="2"/>
          </w:tcPr>
          <w:p w:rsidR="00BD39C3" w:rsidRPr="00C60D73" w:rsidRDefault="00BD39C3" w:rsidP="00BD39C3">
            <w:pPr>
              <w:pStyle w:val="Sub-ClauseText"/>
              <w:numPr>
                <w:ilvl w:val="1"/>
                <w:numId w:val="1"/>
              </w:numPr>
              <w:spacing w:before="0" w:after="180"/>
              <w:ind w:left="648" w:hanging="648"/>
              <w:rPr>
                <w:spacing w:val="0"/>
              </w:rPr>
            </w:pPr>
            <w:r w:rsidRPr="00C60D73">
              <w:rPr>
                <w:spacing w:val="0"/>
              </w:rPr>
              <w:t>Ugovor, kao i sva prepiska i dokumentacija koja se odnosi na ugovor koju razmenjuju ponuđač i naručilac, napisana je na jeziku onako kako je naznačeno u uslovima</w:t>
            </w:r>
            <w:r w:rsidRPr="00C60D73">
              <w:rPr>
                <w:b/>
                <w:spacing w:val="0"/>
              </w:rPr>
              <w:t xml:space="preserve"> PUU.</w:t>
            </w:r>
            <w:r w:rsidRPr="00C60D73">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rsidR="00BD39C3" w:rsidRPr="00C60D73" w:rsidRDefault="00BD39C3" w:rsidP="00BD39C3">
            <w:pPr>
              <w:pStyle w:val="Sub-ClauseText"/>
              <w:numPr>
                <w:ilvl w:val="1"/>
                <w:numId w:val="1"/>
              </w:numPr>
              <w:spacing w:before="0" w:after="180"/>
              <w:ind w:left="648" w:hanging="648"/>
              <w:rPr>
                <w:spacing w:val="0"/>
              </w:rPr>
            </w:pPr>
            <w:r w:rsidRPr="00C60D73">
              <w:rPr>
                <w:spacing w:val="0"/>
              </w:rPr>
              <w:t>Dobavljač snosi sve troškove prevoda na naznačeni jezik i sve rizike tačnosti tog prevoda za dokumenta koja obezbeđuje dobavljač.</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6" w:name="_Toc333312154"/>
            <w:r w:rsidRPr="00C60D73">
              <w:t>Zajedničko ulaganje, konzorcijum ili udruženje</w:t>
            </w:r>
            <w:bookmarkEnd w:id="6"/>
          </w:p>
        </w:tc>
        <w:tc>
          <w:tcPr>
            <w:tcW w:w="6948" w:type="dxa"/>
            <w:gridSpan w:val="2"/>
          </w:tcPr>
          <w:p w:rsidR="00BD39C3" w:rsidRPr="00C60D73" w:rsidRDefault="00BD39C3" w:rsidP="00BD39C3">
            <w:pPr>
              <w:pStyle w:val="Sub-ClauseText"/>
              <w:numPr>
                <w:ilvl w:val="1"/>
                <w:numId w:val="13"/>
              </w:numPr>
              <w:spacing w:before="0" w:after="200"/>
            </w:pPr>
            <w:r w:rsidRPr="00C60D73">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7" w:name="_Toc333312155"/>
            <w:r w:rsidRPr="00C60D73">
              <w:t>Podobnost</w:t>
            </w:r>
            <w:bookmarkEnd w:id="7"/>
          </w:p>
        </w:tc>
        <w:tc>
          <w:tcPr>
            <w:tcW w:w="6948" w:type="dxa"/>
            <w:gridSpan w:val="2"/>
          </w:tcPr>
          <w:p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Dobavljač i njegovi podizvođači poseduju državljanstvo zemlje koja ispunjava uslove. Dobavljač ili podizvođač se smatra državljaninom neke zemlje ukoliko je njen državljanin ili je ustanovljen, osnovan ili registrovan i radi u skladu sa odredbama zakona te zemlje. </w:t>
            </w:r>
          </w:p>
          <w:p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Poreklo svih dobra i pratećih usluga koje će se isporučiti prema ugovoru i koje banka finansira jeste iz zemalja koje ispunjavaju uslove. U svrhe ove odredbe, poreklo označava zemlju u kojoj </w:t>
            </w:r>
            <w:r w:rsidRPr="00C60D73">
              <w:rPr>
                <w:spacing w:val="0"/>
              </w:rPr>
              <w:lastRenderedPageBreak/>
              <w:t xml:space="preserve">su dobra bila uzgajana, iskopana, kultivisana, proizvedena, izrađena ili obrađivana; ili se njenom izradom, obradom, ili montažom dobija drugi komercijalno priznati proizvod koji se suštinski razlikuje po svojim karakteristikama od svojih komponenti. </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8" w:name="_Toc333312156"/>
            <w:r w:rsidRPr="00C60D73">
              <w:lastRenderedPageBreak/>
              <w:t>Obaveštenja</w:t>
            </w:r>
            <w:bookmarkEnd w:id="8"/>
          </w:p>
        </w:tc>
        <w:tc>
          <w:tcPr>
            <w:tcW w:w="6948" w:type="dxa"/>
            <w:gridSpan w:val="2"/>
          </w:tcPr>
          <w:p w:rsidR="00BD39C3" w:rsidRPr="00C60D73" w:rsidRDefault="00BD39C3" w:rsidP="00BD39C3">
            <w:pPr>
              <w:pStyle w:val="Sub-ClauseText"/>
              <w:numPr>
                <w:ilvl w:val="1"/>
                <w:numId w:val="3"/>
              </w:numPr>
              <w:spacing w:before="0" w:after="200"/>
              <w:rPr>
                <w:spacing w:val="0"/>
              </w:rPr>
            </w:pPr>
            <w:r w:rsidRPr="00C60D73">
              <w:rPr>
                <w:spacing w:val="0"/>
              </w:rPr>
              <w:t xml:space="preserve">Svako obaveštenje koje je jedna strana dala drugoj shodno ugovoru, daje se pisanim putem na adresu naznačenu u uslovima </w:t>
            </w:r>
            <w:r w:rsidRPr="00C60D73">
              <w:rPr>
                <w:b/>
                <w:spacing w:val="0"/>
              </w:rPr>
              <w:t>PUU.</w:t>
            </w:r>
            <w:r w:rsidRPr="00C60D73">
              <w:rPr>
                <w:spacing w:val="0"/>
              </w:rPr>
              <w:t xml:space="preserve"> Izraz „pisanim putem“ znači da se komunikacija obavlja u pisanoj formi, uz potvrdu o prijemu; </w:t>
            </w:r>
          </w:p>
          <w:p w:rsidR="00BD39C3" w:rsidRPr="00C60D73" w:rsidRDefault="00BD39C3" w:rsidP="00BD39C3">
            <w:pPr>
              <w:pStyle w:val="Sub-ClauseText"/>
              <w:numPr>
                <w:ilvl w:val="1"/>
                <w:numId w:val="3"/>
              </w:numPr>
              <w:spacing w:before="0" w:after="200"/>
              <w:rPr>
                <w:spacing w:val="0"/>
              </w:rPr>
            </w:pPr>
            <w:r w:rsidRPr="00C60D73">
              <w:rPr>
                <w:spacing w:val="0"/>
              </w:rPr>
              <w:t>Obaveštenje postaje punovažno onda kada se isporuči ili na datum kada obaveštenje postaje punovažno, koje bude kasnije.</w:t>
            </w:r>
          </w:p>
        </w:tc>
      </w:tr>
      <w:tr w:rsidR="00BD39C3" w:rsidRPr="00C60D73" w:rsidTr="00B31C85">
        <w:trPr>
          <w:gridBefore w:val="1"/>
          <w:gridAfter w:val="1"/>
          <w:wBefore w:w="18" w:type="dxa"/>
          <w:wAfter w:w="18" w:type="dxa"/>
        </w:trPr>
        <w:tc>
          <w:tcPr>
            <w:tcW w:w="2250" w:type="dxa"/>
          </w:tcPr>
          <w:p w:rsidR="00BD39C3" w:rsidRPr="00C60D73" w:rsidRDefault="003E58B9" w:rsidP="00BD39C3">
            <w:pPr>
              <w:pStyle w:val="sec7-clauses"/>
              <w:numPr>
                <w:ilvl w:val="0"/>
                <w:numId w:val="12"/>
              </w:numPr>
              <w:spacing w:before="0" w:after="200"/>
            </w:pPr>
            <w:bookmarkStart w:id="9" w:name="_Toc333312157"/>
            <w:r w:rsidRPr="00C60D73">
              <w:t>Meritorno</w:t>
            </w:r>
            <w:r w:rsidR="00BD39C3" w:rsidRPr="00C60D73">
              <w:t xml:space="preserve"> pravo</w:t>
            </w:r>
            <w:bookmarkEnd w:id="9"/>
          </w:p>
        </w:tc>
        <w:tc>
          <w:tcPr>
            <w:tcW w:w="6930" w:type="dxa"/>
          </w:tcPr>
          <w:p w:rsidR="00BD39C3" w:rsidRPr="00C60D73" w:rsidRDefault="00BD39C3" w:rsidP="00BD39C3">
            <w:pPr>
              <w:pStyle w:val="Sub-ClauseText"/>
              <w:numPr>
                <w:ilvl w:val="1"/>
                <w:numId w:val="14"/>
              </w:numPr>
              <w:spacing w:before="0" w:after="200"/>
              <w:rPr>
                <w:spacing w:val="0"/>
              </w:rPr>
            </w:pPr>
            <w:r w:rsidRPr="00C60D73">
              <w:rPr>
                <w:spacing w:val="0"/>
              </w:rPr>
              <w:t xml:space="preserve">Ugovor mora da se upravlja prema zakonima i tumači u duhu zakona zemlje naručioca, ukoliko nije drugačije naznačeno u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0" w:name="_Toc333312158"/>
            <w:r w:rsidRPr="00C60D73">
              <w:t>Poravnanje u sporovima</w:t>
            </w:r>
            <w:bookmarkEnd w:id="10"/>
          </w:p>
        </w:tc>
        <w:tc>
          <w:tcPr>
            <w:tcW w:w="6930" w:type="dxa"/>
          </w:tcPr>
          <w:p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Naručilac i dobavljač čine sve napore da prijateljski reše neposrednim pregovaranjem svako neslaganje ili spor koji proistekne između njih prema i u vezi sa ugovorom. </w:t>
            </w:r>
          </w:p>
          <w:p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isporuke dobara prema ugovoru. Arbitražni postupak se izvodi u skladu sa pravilima postupka </w:t>
            </w:r>
            <w:r w:rsidRPr="00C60D73">
              <w:rPr>
                <w:b/>
                <w:spacing w:val="0"/>
              </w:rPr>
              <w:t xml:space="preserve">naznačenim u uslovima PUU. </w:t>
            </w:r>
          </w:p>
          <w:p w:rsidR="00BD39C3" w:rsidRPr="00C60D73" w:rsidRDefault="00BD39C3" w:rsidP="00BD39C3">
            <w:pPr>
              <w:pStyle w:val="Sub-ClauseText"/>
              <w:numPr>
                <w:ilvl w:val="1"/>
                <w:numId w:val="4"/>
              </w:numPr>
              <w:spacing w:before="0" w:after="240"/>
              <w:ind w:left="605" w:hanging="605"/>
            </w:pPr>
            <w:r w:rsidRPr="00C60D73">
              <w:t xml:space="preserve"> Bez obzira na svako pozivanje na arbitražu, </w:t>
            </w:r>
          </w:p>
          <w:p w:rsidR="00BD39C3" w:rsidRPr="00C60D73" w:rsidRDefault="00BD39C3" w:rsidP="00BD39C3">
            <w:pPr>
              <w:pStyle w:val="Sub-ClauseText"/>
              <w:numPr>
                <w:ilvl w:val="2"/>
                <w:numId w:val="14"/>
              </w:numPr>
              <w:spacing w:before="0" w:after="160"/>
            </w:pPr>
            <w:r w:rsidRPr="00C60D73">
              <w:t xml:space="preserve">strane nastavljaju da izvršavaju svoje obaveze prema ugovoru sve dok se ne dogovore drugačije; i </w:t>
            </w:r>
          </w:p>
          <w:p w:rsidR="00BD39C3" w:rsidRPr="00C60D73" w:rsidRDefault="00BD39C3" w:rsidP="00BD39C3">
            <w:pPr>
              <w:pStyle w:val="Sub-ClauseText"/>
              <w:numPr>
                <w:ilvl w:val="2"/>
                <w:numId w:val="14"/>
              </w:numPr>
              <w:spacing w:before="0" w:after="200"/>
              <w:rPr>
                <w:spacing w:val="0"/>
              </w:rPr>
            </w:pPr>
            <w:r w:rsidRPr="00C60D73">
              <w:t>naručilac plaća dobavljaču sve dospele novčane iznose.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1" w:name="_Toc333312159"/>
            <w:r w:rsidRPr="00C60D73">
              <w:t>Obim nabavke</w:t>
            </w:r>
            <w:bookmarkEnd w:id="11"/>
          </w:p>
        </w:tc>
        <w:tc>
          <w:tcPr>
            <w:tcW w:w="6930" w:type="dxa"/>
          </w:tcPr>
          <w:p w:rsidR="00BD39C3" w:rsidRPr="00C60D73" w:rsidRDefault="00BD39C3" w:rsidP="0021174C">
            <w:pPr>
              <w:pStyle w:val="ListParagraph"/>
              <w:numPr>
                <w:ilvl w:val="0"/>
                <w:numId w:val="50"/>
              </w:numPr>
              <w:spacing w:after="200"/>
              <w:jc w:val="both"/>
            </w:pPr>
            <w:r w:rsidRPr="00C60D73">
              <w:t xml:space="preserve">Dobra i prateće usluge koje treba isporučiti vršiće se prema </w:t>
            </w:r>
            <w:r w:rsidR="0021174C" w:rsidRPr="00C60D73">
              <w:t>Planu isporuke koji će Dobavljač zajedno sa predstavnikom Naručioca i Tehničkim predstavnikom pripremiti za grupu kuća (ukoliko je to moguće) ili za svaku stambenu jedinicu pojedinačno, u zavisnosti od lokacija stambenih jedinica unutar svake opštine pojedinačno prema tabeli.</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2" w:name="_Toc333312160"/>
            <w:r w:rsidRPr="00C60D73">
              <w:t>Isporučivanje i dokumenta</w:t>
            </w:r>
            <w:bookmarkEnd w:id="12"/>
          </w:p>
        </w:tc>
        <w:tc>
          <w:tcPr>
            <w:tcW w:w="6930" w:type="dxa"/>
          </w:tcPr>
          <w:p w:rsidR="00BD39C3" w:rsidRPr="00C60D73" w:rsidRDefault="00BD39C3" w:rsidP="00BD39C3">
            <w:pPr>
              <w:pStyle w:val="Sub-ClauseText"/>
              <w:numPr>
                <w:ilvl w:val="1"/>
                <w:numId w:val="15"/>
              </w:numPr>
              <w:spacing w:before="0" w:after="200"/>
            </w:pPr>
            <w:r w:rsidRPr="00C60D73">
              <w:t>Isporučivanje dobara i završetak pratećih usluga, u skladu je sa rasporedima za isporučivanje i završetak onako kako j</w:t>
            </w:r>
            <w:r w:rsidR="0021174C" w:rsidRPr="00C60D73">
              <w:t xml:space="preserve">e to </w:t>
            </w:r>
            <w:r w:rsidR="0021174C" w:rsidRPr="00C60D73">
              <w:lastRenderedPageBreak/>
              <w:t>naznačeno u Termin planu</w:t>
            </w:r>
            <w:r w:rsidRPr="00C60D73">
              <w:t>. Detalji otpreme i ostala dokumenta koje dobavljač treba da pribavi su naznačeni u uslovima PUU</w:t>
            </w:r>
            <w:r w:rsidR="0021174C" w:rsidRPr="00C60D73">
              <w:t xml:space="preserve"> i u Projektnom zadatku</w:t>
            </w:r>
            <w:r w:rsidRPr="00C60D73">
              <w:t>.</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3" w:name="_Toc333312161"/>
            <w:r w:rsidRPr="00C60D73">
              <w:lastRenderedPageBreak/>
              <w:t>Odgovornost dobavljača</w:t>
            </w:r>
            <w:bookmarkEnd w:id="13"/>
          </w:p>
        </w:tc>
        <w:tc>
          <w:tcPr>
            <w:tcW w:w="6930" w:type="dxa"/>
          </w:tcPr>
          <w:p w:rsidR="00BD39C3" w:rsidRPr="00C60D73" w:rsidRDefault="00BD39C3" w:rsidP="00BD39C3">
            <w:pPr>
              <w:pStyle w:val="Sub-ClauseText"/>
              <w:numPr>
                <w:ilvl w:val="1"/>
                <w:numId w:val="16"/>
              </w:numPr>
              <w:spacing w:before="0" w:after="200"/>
              <w:rPr>
                <w:spacing w:val="0"/>
              </w:rPr>
            </w:pPr>
            <w:r w:rsidRPr="00C60D73">
              <w:rPr>
                <w:spacing w:val="0"/>
              </w:rPr>
              <w:t>Dobavljač će snabdevati svim dobrima i pratećim uslugama koje su obuhvaćene obimom snabdevanja u skladu sa usloviima OUU, klauzula 11, i rasporedima isporučivanja i završetka, prema uslovima OUU, klauzula 12.</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4" w:name="_Toc333312162"/>
            <w:r w:rsidRPr="00C60D73">
              <w:t>Ugovorna cena</w:t>
            </w:r>
            <w:bookmarkEnd w:id="14"/>
          </w:p>
        </w:tc>
        <w:tc>
          <w:tcPr>
            <w:tcW w:w="6930" w:type="dxa"/>
          </w:tcPr>
          <w:p w:rsidR="00BD39C3" w:rsidRPr="00C60D73" w:rsidRDefault="00BD39C3" w:rsidP="00BD39C3">
            <w:pPr>
              <w:pStyle w:val="Sub-ClauseText"/>
              <w:numPr>
                <w:ilvl w:val="1"/>
                <w:numId w:val="17"/>
              </w:numPr>
              <w:spacing w:before="0" w:after="200"/>
              <w:rPr>
                <w:spacing w:val="0"/>
              </w:rPr>
            </w:pPr>
            <w:r w:rsidRPr="00C60D73">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5" w:name="_Toc333312163"/>
            <w:r w:rsidRPr="00C60D73">
              <w:t>Uslovi plaćanja</w:t>
            </w:r>
            <w:bookmarkEnd w:id="15"/>
          </w:p>
        </w:tc>
        <w:tc>
          <w:tcPr>
            <w:tcW w:w="6930" w:type="dxa"/>
          </w:tcPr>
          <w:p w:rsidR="00BD39C3" w:rsidRPr="00C60D73" w:rsidRDefault="00BD39C3" w:rsidP="00BD39C3">
            <w:pPr>
              <w:pStyle w:val="Sub-ClauseText"/>
              <w:numPr>
                <w:ilvl w:val="1"/>
                <w:numId w:val="18"/>
              </w:numPr>
              <w:spacing w:before="0" w:after="200"/>
              <w:rPr>
                <w:spacing w:val="0"/>
              </w:rPr>
            </w:pPr>
            <w:r w:rsidRPr="00C60D73">
              <w:rPr>
                <w:spacing w:val="0"/>
              </w:rPr>
              <w:t xml:space="preserve">Ugovorna cena, uključujući sva avansna plaćanja, ukoliko je primenjivo, plaća se onako kako je naznačeno u uslovima </w:t>
            </w:r>
            <w:r w:rsidRPr="00C60D73">
              <w:rPr>
                <w:b/>
                <w:spacing w:val="0"/>
              </w:rPr>
              <w:t>PUU.</w:t>
            </w:r>
          </w:p>
          <w:p w:rsidR="00BD39C3" w:rsidRPr="00C60D73" w:rsidRDefault="00BD39C3" w:rsidP="00BD39C3">
            <w:pPr>
              <w:pStyle w:val="Sub-ClauseText"/>
              <w:numPr>
                <w:ilvl w:val="1"/>
                <w:numId w:val="18"/>
              </w:numPr>
              <w:spacing w:before="0" w:after="200"/>
              <w:rPr>
                <w:spacing w:val="0"/>
              </w:rPr>
            </w:pPr>
            <w:r w:rsidRPr="00C60D73">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BD39C3" w:rsidRPr="00C60D73" w:rsidRDefault="00BD39C3" w:rsidP="00BD39C3">
            <w:pPr>
              <w:pStyle w:val="Sub-ClauseText"/>
              <w:numPr>
                <w:ilvl w:val="1"/>
                <w:numId w:val="18"/>
              </w:numPr>
              <w:spacing w:before="0" w:after="200"/>
              <w:rPr>
                <w:spacing w:val="0"/>
              </w:rPr>
            </w:pPr>
            <w:r w:rsidRPr="00C60D73">
              <w:rPr>
                <w:spacing w:val="0"/>
              </w:rPr>
              <w:t>Naručilac odmah vrši plaćanja, u svakom slučaju ne posle četrdeset pet (45) dana nakon što je dobavljač podneo račun ili zahtev za plaćanje, i nakon što je iste naručilac prihvatio.</w:t>
            </w:r>
          </w:p>
          <w:p w:rsidR="00BD39C3" w:rsidRPr="00C60D73" w:rsidRDefault="00BD39C3" w:rsidP="00BD39C3">
            <w:pPr>
              <w:pStyle w:val="Sub-ClauseText"/>
              <w:numPr>
                <w:ilvl w:val="1"/>
                <w:numId w:val="18"/>
              </w:numPr>
              <w:spacing w:before="0" w:after="200"/>
              <w:rPr>
                <w:spacing w:val="0"/>
              </w:rPr>
            </w:pPr>
            <w:r w:rsidRPr="00C60D73">
              <w:rPr>
                <w:spacing w:val="0"/>
              </w:rPr>
              <w:t xml:space="preserve">Valute u kojima se vrši plaćanje dobavljaču prema ovom ugovoru jesu one u kojima je izražena cena ponude. </w:t>
            </w:r>
          </w:p>
          <w:p w:rsidR="002702C7" w:rsidRDefault="00BD39C3" w:rsidP="002702C7">
            <w:pPr>
              <w:pStyle w:val="Sub-ClauseText"/>
              <w:numPr>
                <w:ilvl w:val="1"/>
                <w:numId w:val="18"/>
              </w:numPr>
              <w:spacing w:before="0" w:after="200"/>
              <w:rPr>
                <w:spacing w:val="0"/>
              </w:rPr>
            </w:pPr>
            <w:r w:rsidRPr="00C60D73">
              <w:rPr>
                <w:spacing w:val="0"/>
              </w:rPr>
              <w:t xml:space="preserve">U slučaju da naručilac ne izvrši plaćanje dobavljaču bilo kog dospelog iznosa za plaćanje do datuma dospeća ili u periodu koji je predviđen u uslovima </w:t>
            </w:r>
            <w:r w:rsidRPr="00C60D73">
              <w:rPr>
                <w:b/>
                <w:spacing w:val="0"/>
              </w:rPr>
              <w:t>PUU,</w:t>
            </w:r>
            <w:r w:rsidRPr="00C60D73">
              <w:rPr>
                <w:spacing w:val="0"/>
              </w:rPr>
              <w:t xml:space="preserve"> naručilac plaća dobavljaču kamatu na iznos te zakasnele isplate prema kursu prikazanom u uslovima </w:t>
            </w:r>
            <w:r w:rsidRPr="00C60D73">
              <w:rPr>
                <w:b/>
                <w:spacing w:val="0"/>
              </w:rPr>
              <w:t>PUU,</w:t>
            </w:r>
            <w:r w:rsidRPr="00C60D73">
              <w:rPr>
                <w:spacing w:val="0"/>
              </w:rPr>
              <w:t xml:space="preserve"> za period kašnjenja dok se plaćanje ne obavi u potpunosti, svejedno pre ili posle donošenja presude ili arbitraže.</w:t>
            </w:r>
          </w:p>
          <w:p w:rsidR="002702C7" w:rsidRPr="002702C7" w:rsidRDefault="002702C7" w:rsidP="002702C7">
            <w:pPr>
              <w:pStyle w:val="Sub-ClauseText"/>
              <w:spacing w:before="0" w:after="200"/>
              <w:ind w:left="600"/>
              <w:rPr>
                <w:spacing w:val="0"/>
              </w:rPr>
            </w:pPr>
          </w:p>
        </w:tc>
      </w:tr>
      <w:tr w:rsidR="00BD39C3" w:rsidRPr="00C60D73" w:rsidTr="007E4119">
        <w:trPr>
          <w:gridBefore w:val="1"/>
          <w:gridAfter w:val="1"/>
          <w:wBefore w:w="18" w:type="dxa"/>
          <w:wAfter w:w="18" w:type="dxa"/>
          <w:trHeight w:val="3645"/>
        </w:trPr>
        <w:tc>
          <w:tcPr>
            <w:tcW w:w="2250" w:type="dxa"/>
          </w:tcPr>
          <w:p w:rsidR="00BD39C3" w:rsidRPr="00C60D73" w:rsidRDefault="00BD39C3" w:rsidP="00BD39C3">
            <w:pPr>
              <w:pStyle w:val="sec7-clauses"/>
              <w:numPr>
                <w:ilvl w:val="0"/>
                <w:numId w:val="12"/>
              </w:numPr>
              <w:spacing w:before="0" w:after="200"/>
            </w:pPr>
            <w:bookmarkStart w:id="16" w:name="_Toc333312164"/>
            <w:r w:rsidRPr="00C60D73">
              <w:lastRenderedPageBreak/>
              <w:t>Porezi i dažbine</w:t>
            </w:r>
            <w:bookmarkEnd w:id="16"/>
          </w:p>
        </w:tc>
        <w:tc>
          <w:tcPr>
            <w:tcW w:w="6930" w:type="dxa"/>
          </w:tcPr>
          <w:p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 ostale dažbine tražene van zemlje naručioca.</w:t>
            </w:r>
          </w:p>
          <w:p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itd. koje nastanu do isporučivanja ugovorenih dobara naručiocu.</w:t>
            </w:r>
          </w:p>
          <w:p w:rsidR="00BD39C3" w:rsidRPr="00C60D73" w:rsidRDefault="00BD39C3" w:rsidP="00BD39C3">
            <w:pPr>
              <w:pStyle w:val="Sub-ClauseText"/>
              <w:numPr>
                <w:ilvl w:val="1"/>
                <w:numId w:val="19"/>
              </w:numPr>
              <w:spacing w:before="0" w:after="240"/>
              <w:ind w:left="605" w:hanging="605"/>
              <w:rPr>
                <w:spacing w:val="0"/>
              </w:rPr>
            </w:pPr>
            <w:r w:rsidRPr="00C60D73">
              <w:t>Ukoliko dobavljač može da dobije poreske olakšice, smanjenja, odobrenja, ili privilegije u zemlji naručioca, naručilac će uložiti maksimalne napore da omogući dobavljaču da se okoristi takvim poreskim uštedama u maksimalno dozvoljenom obimu</w:t>
            </w:r>
            <w:r w:rsidRPr="00C60D73">
              <w:rPr>
                <w:spacing w:val="0"/>
              </w:rPr>
              <w:t>.</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7" w:name="_Toc333312165"/>
            <w:r w:rsidRPr="00C60D73">
              <w:t>Garancija za dobro izvršenje posla</w:t>
            </w:r>
            <w:bookmarkEnd w:id="17"/>
          </w:p>
        </w:tc>
        <w:tc>
          <w:tcPr>
            <w:tcW w:w="6930" w:type="dxa"/>
          </w:tcPr>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Ukoliko se to zahteva prema naznačenom u uslovima PUU, dobavljač u roku od dvadeset osam (28) dana od obaveštenja o dodeli ugovora obezbeđuje garanciju za dobro izvršenje ugovora za iznos određen u uslovima </w:t>
            </w:r>
            <w:r w:rsidRPr="00C60D73">
              <w:rPr>
                <w:b/>
                <w:spacing w:val="0"/>
              </w:rPr>
              <w:t>PUU.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Dobitak garancije za dobro izvršenje posla se može isplatiti naručiocu kao nadoknada za bilo koji gubitak koji nastaje usled dobavljačevog neuspešnog izvršavanja obaveze prema ugovoru.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Kao što je naznačeno u uslovima PUU, garancija za dobro izvršenje posla, ukoliko se traži, imenuje se u valuti(ama) ugovora ili u slobodno konvertibilnoj valuti koja je prihvatljiva naručiocu, a daje se u obliku koga je naručilac odredio u uslovima </w:t>
            </w:r>
            <w:r w:rsidRPr="00C60D73">
              <w:rPr>
                <w:b/>
                <w:spacing w:val="0"/>
              </w:rPr>
              <w:t>PUU</w:t>
            </w:r>
            <w:r w:rsidRPr="00C60D73">
              <w:rPr>
                <w:spacing w:val="0"/>
              </w:rPr>
              <w:t xml:space="preserve"> ili u drugom obliku koji je prihvatljiv naručiocu.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8" w:name="_Toc333312166"/>
            <w:r w:rsidRPr="00C60D73">
              <w:t>Autorska prava</w:t>
            </w:r>
            <w:bookmarkEnd w:id="18"/>
          </w:p>
        </w:tc>
        <w:tc>
          <w:tcPr>
            <w:tcW w:w="6930" w:type="dxa"/>
          </w:tcPr>
          <w:p w:rsidR="00BD39C3" w:rsidRPr="00C60D73" w:rsidRDefault="00BD39C3" w:rsidP="00BD39C3">
            <w:pPr>
              <w:pStyle w:val="Sub-ClauseText"/>
              <w:numPr>
                <w:ilvl w:val="1"/>
                <w:numId w:val="21"/>
              </w:numPr>
              <w:spacing w:before="0" w:after="180"/>
              <w:ind w:left="605" w:hanging="605"/>
              <w:rPr>
                <w:spacing w:val="0"/>
              </w:rPr>
            </w:pPr>
            <w:r w:rsidRPr="00C60D73">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9" w:name="_Toc333312167"/>
            <w:r w:rsidRPr="00C60D73">
              <w:t>Poverljive informacije</w:t>
            </w:r>
            <w:bookmarkEnd w:id="19"/>
          </w:p>
        </w:tc>
        <w:tc>
          <w:tcPr>
            <w:tcW w:w="6930" w:type="dxa"/>
          </w:tcPr>
          <w:p w:rsidR="00BD39C3" w:rsidRPr="00C60D73" w:rsidRDefault="00BD39C3" w:rsidP="00BD39C3">
            <w:pPr>
              <w:pStyle w:val="Sub-ClauseText"/>
              <w:numPr>
                <w:ilvl w:val="1"/>
                <w:numId w:val="22"/>
              </w:numPr>
              <w:spacing w:before="0" w:after="180"/>
              <w:rPr>
                <w:spacing w:val="0"/>
              </w:rPr>
            </w:pPr>
            <w:r w:rsidRPr="00C60D73">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w:t>
            </w:r>
            <w:r w:rsidRPr="00C60D73">
              <w:rPr>
                <w:spacing w:val="0"/>
              </w:rPr>
              <w:lastRenderedPageBreak/>
              <w:t>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BD39C3" w:rsidRPr="00C60D73" w:rsidRDefault="00BD39C3" w:rsidP="00BD39C3">
            <w:pPr>
              <w:pStyle w:val="Sub-ClauseText"/>
              <w:numPr>
                <w:ilvl w:val="1"/>
                <w:numId w:val="22"/>
              </w:numPr>
              <w:spacing w:before="0" w:after="180"/>
              <w:rPr>
                <w:spacing w:val="0"/>
              </w:rPr>
            </w:pPr>
            <w:r w:rsidRPr="00C60D73">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BD39C3" w:rsidRPr="00C60D73" w:rsidRDefault="00BD39C3" w:rsidP="00BD39C3">
            <w:pPr>
              <w:pStyle w:val="Sub-ClauseText"/>
              <w:numPr>
                <w:ilvl w:val="1"/>
                <w:numId w:val="22"/>
              </w:numPr>
              <w:spacing w:before="0" w:after="180"/>
              <w:rPr>
                <w:spacing w:val="0"/>
              </w:rPr>
            </w:pPr>
            <w:r w:rsidRPr="00C60D73">
              <w:rPr>
                <w:spacing w:val="0"/>
              </w:rPr>
              <w:t>Obaveza strane prema uslovima OUU, potklauzula 19.1 i 19.2 se, međutim, ne odnosi na informacije koje:</w:t>
            </w:r>
          </w:p>
          <w:p w:rsidR="00BD39C3" w:rsidRPr="00C60D73" w:rsidRDefault="00BD39C3" w:rsidP="00BD39C3">
            <w:pPr>
              <w:pStyle w:val="Heading3"/>
              <w:numPr>
                <w:ilvl w:val="2"/>
                <w:numId w:val="40"/>
              </w:numPr>
              <w:spacing w:after="180"/>
            </w:pPr>
            <w:r w:rsidRPr="00C60D73">
              <w:t xml:space="preserve">naručilac i dobavljač treba da podele sa bankom ili drugim ustanovama koje učestvuju u finansiranju projekta; </w:t>
            </w:r>
          </w:p>
          <w:p w:rsidR="00BD39C3" w:rsidRPr="00C60D73" w:rsidRDefault="00BD39C3" w:rsidP="00BD39C3">
            <w:pPr>
              <w:pStyle w:val="Heading3"/>
              <w:numPr>
                <w:ilvl w:val="2"/>
                <w:numId w:val="40"/>
              </w:numPr>
              <w:spacing w:after="180"/>
            </w:pPr>
            <w:r w:rsidRPr="00C60D73">
              <w:t>sada i ubuduće dospeju u javnost bez krivice te strane;</w:t>
            </w:r>
          </w:p>
          <w:p w:rsidR="00BD39C3" w:rsidRPr="00C60D73" w:rsidRDefault="00BD39C3" w:rsidP="00BD39C3">
            <w:pPr>
              <w:pStyle w:val="Heading3"/>
              <w:numPr>
                <w:ilvl w:val="2"/>
                <w:numId w:val="40"/>
              </w:numPr>
              <w:spacing w:after="180"/>
            </w:pPr>
            <w:r w:rsidRPr="00C60D73">
              <w:t>bile su u posedu te strane, što se može dokazati, u vreme otkrivanja i koje nisu bile dobijene, posredno ili neposredno, od te druge strane; ili</w:t>
            </w:r>
          </w:p>
          <w:p w:rsidR="00BD39C3" w:rsidRPr="00C60D73" w:rsidRDefault="00BD39C3" w:rsidP="00BD39C3">
            <w:pPr>
              <w:pStyle w:val="Heading3"/>
              <w:numPr>
                <w:ilvl w:val="2"/>
                <w:numId w:val="40"/>
              </w:numPr>
              <w:spacing w:after="180"/>
            </w:pPr>
            <w:r w:rsidRPr="00C60D73">
              <w:t>na drugi zakonit način postanu dostupne toj strani od treće strane koja nema obavezu čuvanja poverljivih informacija.</w:t>
            </w:r>
          </w:p>
          <w:p w:rsidR="00BD39C3" w:rsidRPr="00C60D73" w:rsidRDefault="00BD39C3" w:rsidP="00BD39C3">
            <w:pPr>
              <w:pStyle w:val="Sub-ClauseText"/>
              <w:numPr>
                <w:ilvl w:val="1"/>
                <w:numId w:val="22"/>
              </w:numPr>
              <w:spacing w:before="0" w:after="180"/>
              <w:rPr>
                <w:spacing w:val="0"/>
              </w:rPr>
            </w:pPr>
            <w:r w:rsidRPr="00C60D73">
              <w:rPr>
                <w:spacing w:val="0"/>
              </w:rPr>
              <w:t>Gorenavedene odredbe uslova OUU, klauzula 19, ni na koji način ne preinačuju obavezu o čuvanju poverljivih informacija koju je dala bilo koja strana pre datuma ugovora u pogledu nabavke ili bilo kog njegovog dela.</w:t>
            </w:r>
          </w:p>
          <w:p w:rsidR="00BD39C3" w:rsidRPr="00C60D73" w:rsidRDefault="00BD39C3" w:rsidP="00BD39C3">
            <w:pPr>
              <w:pStyle w:val="Sub-ClauseText"/>
              <w:numPr>
                <w:ilvl w:val="1"/>
                <w:numId w:val="22"/>
              </w:numPr>
              <w:spacing w:before="0" w:after="200"/>
              <w:rPr>
                <w:spacing w:val="0"/>
              </w:rPr>
            </w:pPr>
            <w:r w:rsidRPr="00C60D73">
              <w:rPr>
                <w:spacing w:val="0"/>
              </w:rPr>
              <w:t>Odredbe uslova OUU, klauzula 19, traju i nakon završetka ili prestanka ugovora, koji god da je razlog tome.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0" w:name="_Toc333312168"/>
            <w:r w:rsidRPr="00C60D73">
              <w:lastRenderedPageBreak/>
              <w:t>Podizvođenje</w:t>
            </w:r>
            <w:bookmarkEnd w:id="20"/>
          </w:p>
        </w:tc>
        <w:tc>
          <w:tcPr>
            <w:tcW w:w="6930" w:type="dxa"/>
          </w:tcPr>
          <w:p w:rsidR="00BD39C3" w:rsidRPr="00C60D73" w:rsidRDefault="00BD39C3" w:rsidP="00BD39C3">
            <w:pPr>
              <w:pStyle w:val="Sub-ClauseText"/>
              <w:numPr>
                <w:ilvl w:val="1"/>
                <w:numId w:val="23"/>
              </w:numPr>
              <w:spacing w:before="0" w:after="240"/>
              <w:ind w:left="605" w:hanging="605"/>
              <w:rPr>
                <w:spacing w:val="0"/>
              </w:rPr>
            </w:pPr>
            <w:r w:rsidRPr="00C60D73">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BD39C3" w:rsidRPr="00C60D73" w:rsidRDefault="00BD39C3" w:rsidP="00BD39C3">
            <w:pPr>
              <w:pStyle w:val="Sub-ClauseText"/>
              <w:numPr>
                <w:ilvl w:val="1"/>
                <w:numId w:val="23"/>
              </w:numPr>
              <w:spacing w:before="0" w:after="240"/>
              <w:ind w:left="605" w:hanging="605"/>
              <w:rPr>
                <w:spacing w:val="0"/>
              </w:rPr>
            </w:pPr>
            <w:r w:rsidRPr="00C60D73">
              <w:rPr>
                <w:spacing w:val="0"/>
              </w:rPr>
              <w:t xml:space="preserve">Podizvođači poštuju odredbe uslova OUU, klauzule 3 i 7.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1" w:name="_Toc333312169"/>
            <w:r w:rsidRPr="00C60D73">
              <w:t>Specifikacije i standardi</w:t>
            </w:r>
            <w:bookmarkEnd w:id="21"/>
          </w:p>
        </w:tc>
        <w:tc>
          <w:tcPr>
            <w:tcW w:w="6930" w:type="dxa"/>
          </w:tcPr>
          <w:p w:rsidR="00BD39C3" w:rsidRPr="00C60D73" w:rsidRDefault="00BD39C3" w:rsidP="00BD39C3">
            <w:pPr>
              <w:pStyle w:val="Sub-ClauseText"/>
              <w:numPr>
                <w:ilvl w:val="1"/>
                <w:numId w:val="24"/>
              </w:numPr>
              <w:spacing w:before="0" w:after="240"/>
              <w:rPr>
                <w:spacing w:val="0"/>
              </w:rPr>
            </w:pPr>
            <w:r w:rsidRPr="00C60D73">
              <w:rPr>
                <w:spacing w:val="0"/>
              </w:rPr>
              <w:t>Tehničke specifikacije i crteži</w:t>
            </w:r>
          </w:p>
          <w:p w:rsidR="00BD39C3" w:rsidRPr="00C60D73" w:rsidRDefault="00BD39C3" w:rsidP="00BD39C3">
            <w:pPr>
              <w:pStyle w:val="Heading3"/>
              <w:numPr>
                <w:ilvl w:val="2"/>
                <w:numId w:val="41"/>
              </w:numPr>
              <w:spacing w:after="240"/>
            </w:pPr>
            <w:r w:rsidRPr="00C60D73">
              <w:t xml:space="preserve">Dobra i prateće usluge koje se nabavljaju prema ovom ugovoru su u skladu sa tehničkim specifikacijama i </w:t>
            </w:r>
            <w:r w:rsidRPr="00C60D73">
              <w:lastRenderedPageBreak/>
              <w:t xml:space="preserve">standardima pomenutim u </w:t>
            </w:r>
            <w:r w:rsidR="00683C6E" w:rsidRPr="00891B7B">
              <w:t xml:space="preserve">Aneksu </w:t>
            </w:r>
            <w:r w:rsidR="000F6DEA" w:rsidRPr="00891B7B">
              <w:t>1</w:t>
            </w:r>
            <w:r w:rsidR="00683C6E" w:rsidRPr="000F6DEA">
              <w:t xml:space="preserve"> Tehnički zahtevi i standardi i </w:t>
            </w:r>
            <w:r w:rsidR="00683C6E" w:rsidRPr="00891B7B">
              <w:t xml:space="preserve">Aneksu </w:t>
            </w:r>
            <w:r w:rsidR="000F6DEA" w:rsidRPr="00891B7B">
              <w:t>2</w:t>
            </w:r>
            <w:r w:rsidR="00683C6E" w:rsidRPr="000F6DEA">
              <w:t xml:space="preserve"> Struktura količina</w:t>
            </w:r>
            <w:r w:rsidR="00683C6E" w:rsidRPr="00C60D73">
              <w:t xml:space="preserve"> za materijal</w:t>
            </w:r>
            <w:r w:rsidRPr="00C60D73">
              <w:t xml:space="preserve"> i, kada se ne pominje primenjivi standard, standard je jednak ili nadređen zvaničnim standardima čija primena odgovara zemlji porekla dobara.</w:t>
            </w:r>
          </w:p>
          <w:p w:rsidR="00BD39C3" w:rsidRPr="00C60D73" w:rsidRDefault="00BD39C3" w:rsidP="00BD39C3">
            <w:pPr>
              <w:pStyle w:val="Heading3"/>
              <w:numPr>
                <w:ilvl w:val="2"/>
                <w:numId w:val="41"/>
              </w:numPr>
              <w:spacing w:after="240"/>
            </w:pPr>
            <w:r w:rsidRPr="00C60D73">
              <w:t>Dobavljač ima pravo na odricanje od odgovornosti za bilo koji dizajn, podatke, crtež, specifikaciju, ili drugi dokument ili bilo koju izmenu istih koje je obezbedio ili kreirao naručilac, slanjem dopisa o takvom opovrgnuću naručiocu.</w:t>
            </w:r>
          </w:p>
          <w:p w:rsidR="00BD39C3" w:rsidRPr="00C60D73" w:rsidRDefault="00BD39C3" w:rsidP="00BD39C3">
            <w:pPr>
              <w:pStyle w:val="Heading3"/>
              <w:numPr>
                <w:ilvl w:val="2"/>
                <w:numId w:val="41"/>
              </w:numPr>
              <w:spacing w:after="240"/>
            </w:pPr>
            <w:r w:rsidRPr="00C60D73">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2" w:name="_Toc333312170"/>
            <w:r w:rsidRPr="00C60D73">
              <w:lastRenderedPageBreak/>
              <w:t>Pakovanje i dokumentacija</w:t>
            </w:r>
            <w:bookmarkEnd w:id="22"/>
          </w:p>
        </w:tc>
        <w:tc>
          <w:tcPr>
            <w:tcW w:w="6930" w:type="dxa"/>
          </w:tcPr>
          <w:p w:rsidR="00BD39C3" w:rsidRPr="00C60D73" w:rsidRDefault="00BD39C3" w:rsidP="00BD39C3">
            <w:pPr>
              <w:pStyle w:val="Sub-ClauseText"/>
              <w:numPr>
                <w:ilvl w:val="1"/>
                <w:numId w:val="25"/>
              </w:numPr>
              <w:spacing w:before="0" w:after="240"/>
              <w:ind w:left="605" w:hanging="605"/>
              <w:rPr>
                <w:spacing w:val="0"/>
              </w:rPr>
            </w:pPr>
            <w:r w:rsidRPr="00C60D73">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BD39C3" w:rsidRPr="00C60D73" w:rsidRDefault="00BD39C3" w:rsidP="00BD39C3">
            <w:pPr>
              <w:pStyle w:val="Sub-ClauseText"/>
              <w:numPr>
                <w:ilvl w:val="1"/>
                <w:numId w:val="25"/>
              </w:numPr>
              <w:spacing w:before="0" w:after="240"/>
              <w:ind w:left="605" w:hanging="605"/>
              <w:rPr>
                <w:spacing w:val="0"/>
              </w:rPr>
            </w:pPr>
            <w:r w:rsidRPr="00C60D73">
              <w:rPr>
                <w:spacing w:val="0"/>
              </w:rPr>
              <w:t xml:space="preserve">Pakovanje, obeležavanje i dokumentacija unutar i van pakovanja strogo su usklađeni sa posebnim zahtevima i biće izričito predviđeni ugovorom, uključujući dodatne zahteve, ukoliko je potrebno, naznačene u uslovima </w:t>
            </w:r>
            <w:r w:rsidRPr="00C60D73">
              <w:rPr>
                <w:b/>
                <w:spacing w:val="0"/>
              </w:rPr>
              <w:t>PUU</w:t>
            </w:r>
            <w:r w:rsidRPr="00C60D73">
              <w:rPr>
                <w:spacing w:val="0"/>
              </w:rPr>
              <w:t xml:space="preserve"> i u ostalim uputstvima koje je izdao naručilac.</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3" w:name="_Toc333312171"/>
            <w:r w:rsidRPr="00C60D73">
              <w:t>Osiguranje</w:t>
            </w:r>
            <w:bookmarkEnd w:id="23"/>
          </w:p>
        </w:tc>
        <w:tc>
          <w:tcPr>
            <w:tcW w:w="6930" w:type="dxa"/>
          </w:tcPr>
          <w:p w:rsidR="00BD39C3" w:rsidRPr="00C60D73" w:rsidRDefault="00BD39C3" w:rsidP="00BD39C3">
            <w:pPr>
              <w:pStyle w:val="Sub-ClauseText"/>
              <w:numPr>
                <w:ilvl w:val="1"/>
                <w:numId w:val="26"/>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C60D73">
              <w:rPr>
                <w:i/>
                <w:spacing w:val="0"/>
              </w:rPr>
              <w:t>Incoterms</w:t>
            </w:r>
            <w:r w:rsidRPr="00C60D73">
              <w:rPr>
                <w:spacing w:val="0"/>
              </w:rPr>
              <w:t xml:space="preserve"> ili na način naznačen u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4" w:name="_Toc333312172"/>
            <w:r w:rsidRPr="00C60D73">
              <w:t>Prevoz</w:t>
            </w:r>
            <w:bookmarkEnd w:id="24"/>
          </w:p>
        </w:tc>
        <w:tc>
          <w:tcPr>
            <w:tcW w:w="6930" w:type="dxa"/>
          </w:tcPr>
          <w:p w:rsidR="00BD39C3" w:rsidRPr="00C60D73" w:rsidRDefault="00BD39C3" w:rsidP="00BD39C3">
            <w:pPr>
              <w:pStyle w:val="Sub-ClauseText"/>
              <w:numPr>
                <w:ilvl w:val="1"/>
                <w:numId w:val="27"/>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odgovorno dogovaranje prevoza dobara je u skladu sa naznačenim propisima </w:t>
            </w:r>
            <w:r w:rsidRPr="00C60D73">
              <w:rPr>
                <w:i/>
                <w:spacing w:val="0"/>
              </w:rPr>
              <w:t>Incoterms</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5" w:name="_Toc333312173"/>
            <w:r w:rsidRPr="00C60D73">
              <w:t xml:space="preserve">Kontrole i </w:t>
            </w:r>
            <w:r w:rsidRPr="00C60D73">
              <w:lastRenderedPageBreak/>
              <w:t>ispitivanja</w:t>
            </w:r>
            <w:bookmarkEnd w:id="25"/>
          </w:p>
        </w:tc>
        <w:tc>
          <w:tcPr>
            <w:tcW w:w="6930" w:type="dxa"/>
          </w:tcPr>
          <w:p w:rsidR="00BD39C3" w:rsidRPr="00C60D73" w:rsidRDefault="00BD39C3" w:rsidP="00BD39C3">
            <w:pPr>
              <w:pStyle w:val="Sub-ClauseText"/>
              <w:numPr>
                <w:ilvl w:val="1"/>
                <w:numId w:val="28"/>
              </w:numPr>
              <w:spacing w:before="0" w:after="160"/>
              <w:ind w:left="605" w:hanging="605"/>
              <w:rPr>
                <w:spacing w:val="0"/>
              </w:rPr>
            </w:pPr>
            <w:r w:rsidRPr="00C60D73">
              <w:rPr>
                <w:spacing w:val="0"/>
              </w:rPr>
              <w:lastRenderedPageBreak/>
              <w:t xml:space="preserve">Dobavljač o svom trošku i bez troškova na račun naručioca </w:t>
            </w:r>
            <w:r w:rsidRPr="00C60D73">
              <w:rPr>
                <w:spacing w:val="0"/>
              </w:rPr>
              <w:lastRenderedPageBreak/>
              <w:t xml:space="preserve">izvodi sva ispitivanja i/ili kontrole dobara i pratećih usluga, onako kako je naznačeno u uslovima </w:t>
            </w:r>
            <w:r w:rsidRPr="00C60D73">
              <w:rPr>
                <w:b/>
                <w:spacing w:val="0"/>
              </w:rPr>
              <w:t>PUU.</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 xml:space="preserve">Kontrole i ispitivanja se mogu izvoditi u prostorijama dobavljača ili podizvođača, na mestu isporuke i/ili u krajnjem odredištu dobara, ili na drugom mestu u zemlji naručioca, kako je naznačeno u uslovima </w:t>
            </w:r>
            <w:r w:rsidRPr="00C60D73">
              <w:rPr>
                <w:b/>
                <w:spacing w:val="0"/>
              </w:rPr>
              <w:t>PUU.</w:t>
            </w:r>
            <w:r w:rsidRPr="00C60D73">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BD39C3" w:rsidRPr="00C60D73" w:rsidRDefault="00BD39C3" w:rsidP="00BD39C3">
            <w:pPr>
              <w:pStyle w:val="Sub-ClauseText"/>
              <w:numPr>
                <w:ilvl w:val="1"/>
                <w:numId w:val="28"/>
              </w:numPr>
              <w:spacing w:before="0" w:after="180"/>
              <w:rPr>
                <w:spacing w:val="0"/>
              </w:rPr>
            </w:pPr>
            <w:r w:rsidRPr="00C60D73">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BD39C3" w:rsidRPr="00C60D73" w:rsidRDefault="00BD39C3" w:rsidP="00BD39C3">
            <w:pPr>
              <w:pStyle w:val="Sub-ClauseText"/>
              <w:numPr>
                <w:ilvl w:val="1"/>
                <w:numId w:val="28"/>
              </w:numPr>
              <w:spacing w:before="0" w:after="180"/>
              <w:rPr>
                <w:spacing w:val="0"/>
              </w:rPr>
            </w:pPr>
            <w:r w:rsidRPr="00C60D73">
              <w:rPr>
                <w:spacing w:val="0"/>
              </w:rPr>
              <w:t>Dobavljač daje naručiocu izveštaj o rezultatima svakog ispitivanja i/ili kontrole.</w:t>
            </w:r>
          </w:p>
          <w:p w:rsidR="00BD39C3" w:rsidRPr="00C60D73" w:rsidRDefault="00BD39C3" w:rsidP="00BD39C3">
            <w:pPr>
              <w:pStyle w:val="Sub-ClauseText"/>
              <w:numPr>
                <w:ilvl w:val="1"/>
                <w:numId w:val="28"/>
              </w:numPr>
              <w:spacing w:before="0" w:after="180"/>
              <w:rPr>
                <w:spacing w:val="0"/>
              </w:rPr>
            </w:pPr>
            <w:r w:rsidRPr="00C60D73">
              <w:rPr>
                <w:spacing w:val="0"/>
              </w:rPr>
              <w:t>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rsidR="00BD39C3" w:rsidRPr="00C60D73" w:rsidRDefault="00BD39C3" w:rsidP="00BD39C3">
            <w:pPr>
              <w:pStyle w:val="Sub-ClauseText"/>
              <w:numPr>
                <w:ilvl w:val="1"/>
                <w:numId w:val="28"/>
              </w:numPr>
              <w:spacing w:before="0" w:after="180"/>
              <w:rPr>
                <w:spacing w:val="0"/>
              </w:rPr>
            </w:pPr>
            <w:r w:rsidRPr="00C60D73">
              <w:rPr>
                <w:spacing w:val="0"/>
              </w:rPr>
              <w:t xml:space="preserve">Dobavljač se slaže da ni izvođenje ispitivanja i/ili kontrola </w:t>
            </w:r>
            <w:r w:rsidRPr="00C60D73">
              <w:rPr>
                <w:spacing w:val="0"/>
              </w:rPr>
              <w:lastRenderedPageBreak/>
              <w:t>dobara ili njihovog dela, ni prisustvo naručioca ili njegovog predstavnika, ni izdavanje izveštaja shodno uslovima OUU, potklauzula 25.6, ne oslobađa dobavljača jemstva ili drugih obaveza prema ugovoru.</w:t>
            </w:r>
          </w:p>
        </w:tc>
      </w:tr>
      <w:tr w:rsidR="00BD39C3" w:rsidRPr="00C60D73" w:rsidTr="00B31C85">
        <w:trPr>
          <w:gridBefore w:val="1"/>
          <w:gridAfter w:val="1"/>
          <w:wBefore w:w="18" w:type="dxa"/>
          <w:wAfter w:w="18" w:type="dxa"/>
        </w:trPr>
        <w:tc>
          <w:tcPr>
            <w:tcW w:w="2250" w:type="dxa"/>
          </w:tcPr>
          <w:p w:rsidR="00BD39C3" w:rsidRPr="00C60D73" w:rsidRDefault="007E4119" w:rsidP="00BD39C3">
            <w:pPr>
              <w:pStyle w:val="sec7-clauses"/>
              <w:numPr>
                <w:ilvl w:val="0"/>
                <w:numId w:val="12"/>
              </w:numPr>
              <w:spacing w:before="0" w:after="200"/>
            </w:pPr>
            <w:r w:rsidRPr="00C60D73">
              <w:lastRenderedPageBreak/>
              <w:t>Ugovor</w:t>
            </w:r>
            <w:r w:rsidR="00696997" w:rsidRPr="00C60D73">
              <w:t>na kazna</w:t>
            </w:r>
          </w:p>
        </w:tc>
        <w:tc>
          <w:tcPr>
            <w:tcW w:w="6930" w:type="dxa"/>
          </w:tcPr>
          <w:p w:rsidR="00BD39C3" w:rsidRPr="00C60D73" w:rsidRDefault="00BD39C3" w:rsidP="00BD39C3">
            <w:pPr>
              <w:pStyle w:val="Sub-ClauseText"/>
              <w:numPr>
                <w:ilvl w:val="1"/>
                <w:numId w:val="29"/>
              </w:numPr>
              <w:spacing w:before="0" w:after="200"/>
              <w:rPr>
                <w:spacing w:val="0"/>
              </w:rPr>
            </w:pPr>
            <w:r w:rsidRPr="00C60D73">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sidRPr="00C60D73">
              <w:rPr>
                <w:b/>
                <w:spacing w:val="0"/>
              </w:rPr>
              <w:t>PUU,</w:t>
            </w:r>
            <w:r w:rsidRPr="00C60D73">
              <w:rPr>
                <w:spacing w:val="0"/>
              </w:rPr>
              <w:t xml:space="preserve"> dostavne cene zakasnelih dobara ili neizvršenih usluga za svaku nedelju ili deo kašnjenja dok se ne obavi isporuka ili izvršenje, do najvećeg oduzimanja procenta koji je naznačen u uslovima </w:t>
            </w:r>
            <w:r w:rsidRPr="00C60D73">
              <w:rPr>
                <w:b/>
                <w:spacing w:val="0"/>
              </w:rPr>
              <w:t>PUU.</w:t>
            </w:r>
            <w:r w:rsidRPr="00C60D73">
              <w:rPr>
                <w:spacing w:val="0"/>
              </w:rPr>
              <w:t xml:space="preserve"> Kada se postigne krajnji iznos, naručilac može da prekine ugovor shodno uslovima OUU, klauzula 34.</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6" w:name="_Toc333312175"/>
            <w:r w:rsidRPr="00C60D73">
              <w:t>Garancija</w:t>
            </w:r>
            <w:bookmarkEnd w:id="26"/>
          </w:p>
        </w:tc>
        <w:tc>
          <w:tcPr>
            <w:tcW w:w="6930" w:type="dxa"/>
          </w:tcPr>
          <w:p w:rsidR="00BD39C3" w:rsidRPr="00C60D73" w:rsidRDefault="00BD39C3" w:rsidP="00BD39C3">
            <w:pPr>
              <w:pStyle w:val="Sub-ClauseText"/>
              <w:numPr>
                <w:ilvl w:val="1"/>
                <w:numId w:val="30"/>
              </w:numPr>
              <w:spacing w:before="0" w:after="200"/>
              <w:rPr>
                <w:spacing w:val="0"/>
              </w:rPr>
            </w:pPr>
            <w:r w:rsidRPr="00C60D73">
              <w:rPr>
                <w:spacing w:val="0"/>
              </w:rPr>
              <w:t>Dobavljač jemči da su sva dobra nova, nekorišćena i predstavljaju poslednje ili savremene modele, kao i da u sebi sadrže najnovija poboljšanja u dizajnu i materijalima, ukoliko nije drugačije uslovljeno ugovorom.</w:t>
            </w:r>
          </w:p>
          <w:p w:rsidR="00BD39C3" w:rsidRPr="00C60D73" w:rsidRDefault="00BD39C3" w:rsidP="00BD39C3">
            <w:pPr>
              <w:pStyle w:val="Sub-ClauseText"/>
              <w:numPr>
                <w:ilvl w:val="1"/>
                <w:numId w:val="30"/>
              </w:numPr>
              <w:spacing w:before="0" w:after="220"/>
              <w:ind w:left="605" w:hanging="605"/>
              <w:rPr>
                <w:spacing w:val="0"/>
              </w:rPr>
            </w:pPr>
            <w:r w:rsidRPr="00C60D73">
              <w:rPr>
                <w:spacing w:val="0"/>
              </w:rPr>
              <w:t>Podležući uslovima OUU potklauzula 21.1 (b), dobavljač dalje garantuje da dobra nemaju kvarove koji su posledica činjenja ili nečinjenja dobavljača ili su nastali zbog dizajna, materijala, ili izrade, u uslovima normalnog korišćenja koji preovladavaju u zemlji krajnjeg odredišta.</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garancija ostaje punovažna dvanaest (12) meseci nakon što se dobra ili neki deo, kako se može dogoditi, isporuče do krajnjeg odredišta naznačenog u uslovima </w:t>
            </w:r>
            <w:r w:rsidRPr="00C60D73">
              <w:rPr>
                <w:b/>
                <w:spacing w:val="0"/>
              </w:rPr>
              <w:t>PUU</w:t>
            </w:r>
            <w:r w:rsidRPr="00C60D73">
              <w:rPr>
                <w:spacing w:val="0"/>
              </w:rPr>
              <w:t xml:space="preserve"> i tamo budu prihvaćena</w:t>
            </w:r>
            <w:r w:rsidRPr="00C60D73">
              <w:rPr>
                <w:b/>
                <w:spacing w:val="0"/>
              </w:rPr>
              <w:t>,</w:t>
            </w:r>
            <w:r w:rsidRPr="00C60D73">
              <w:rPr>
                <w:spacing w:val="0"/>
              </w:rPr>
              <w:t xml:space="preserve"> ili osamnaest (18) meseci nakon datuma otpreme iz luke ili mesta utovara u zemlji porekla, koji god da se period ranije završi.</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Naručilac obaveštava dobavljača navodeći prirodu svakog takvog kvara, zajedno sa svim raspoloživim dokazima, odmah nakon njihovog otkrivanja. Naručilac omogućava dobavljaču svaku razumnu priliku da proveri takve kvarove.</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Po prijemu takvog obaveštenja, dobavljač, u roku naznačenom u uslovima </w:t>
            </w:r>
            <w:r w:rsidRPr="00C60D73">
              <w:rPr>
                <w:b/>
                <w:spacing w:val="0"/>
              </w:rPr>
              <w:t>PUU,</w:t>
            </w:r>
            <w:r w:rsidRPr="00C60D73">
              <w:rPr>
                <w:spacing w:val="0"/>
              </w:rPr>
              <w:t xml:space="preserve"> brzo popravlja ili zamenjuje dobra sa kvarom ili neki deo, ne zadužujući naručioca.</w:t>
            </w:r>
          </w:p>
          <w:p w:rsidR="00BD39C3" w:rsidRPr="00C60D73" w:rsidRDefault="00BD39C3" w:rsidP="00BD39C3">
            <w:pPr>
              <w:pStyle w:val="Sub-ClauseText"/>
              <w:numPr>
                <w:ilvl w:val="1"/>
                <w:numId w:val="30"/>
              </w:numPr>
              <w:spacing w:before="0" w:after="200"/>
              <w:rPr>
                <w:spacing w:val="0"/>
              </w:rPr>
            </w:pPr>
            <w:r w:rsidRPr="00C60D73">
              <w:rPr>
                <w:spacing w:val="0"/>
              </w:rPr>
              <w:t xml:space="preserve">Ukoliko nakon obaveštenja, dobavljač ne uspe da otkloni kvar u periodu naznačenom u uslovima </w:t>
            </w:r>
            <w:r w:rsidRPr="00C60D73">
              <w:rPr>
                <w:b/>
                <w:spacing w:val="0"/>
              </w:rPr>
              <w:t>PUU,</w:t>
            </w:r>
            <w:r w:rsidRPr="00C60D73">
              <w:rPr>
                <w:spacing w:val="0"/>
              </w:rPr>
              <w:t xml:space="preserve"> naručilac može da započne preduzimanje radnji u razumnom roku radi popravke stanja, one koje mogu biti neophodne, na dobavljačev rizik i </w:t>
            </w:r>
            <w:r w:rsidRPr="00C60D73">
              <w:rPr>
                <w:spacing w:val="0"/>
              </w:rPr>
              <w:lastRenderedPageBreak/>
              <w:t>račun i ne dovodeći u pitanje bilo koja druga prava koja naručilac može da ima u odnosu na dobavljača prema ugovoru.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7" w:name="_Toc333312176"/>
            <w:r w:rsidRPr="00C60D73">
              <w:lastRenderedPageBreak/>
              <w:t>Naknada štete počinjene povredom patenta</w:t>
            </w:r>
            <w:bookmarkEnd w:id="27"/>
          </w:p>
        </w:tc>
        <w:tc>
          <w:tcPr>
            <w:tcW w:w="6930" w:type="dxa"/>
          </w:tcPr>
          <w:p w:rsidR="00BD39C3" w:rsidRPr="00C60D73" w:rsidRDefault="00BD39C3" w:rsidP="00BD39C3">
            <w:pPr>
              <w:pStyle w:val="Sub-ClauseText"/>
              <w:numPr>
                <w:ilvl w:val="1"/>
                <w:numId w:val="31"/>
              </w:numPr>
              <w:spacing w:before="0" w:after="200"/>
              <w:rPr>
                <w:spacing w:val="0"/>
              </w:rPr>
            </w:pPr>
            <w:r w:rsidRPr="00C60D73">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BD39C3" w:rsidRPr="00C60D73" w:rsidRDefault="00BD39C3" w:rsidP="00BD39C3">
            <w:pPr>
              <w:pStyle w:val="Heading3"/>
              <w:numPr>
                <w:ilvl w:val="2"/>
                <w:numId w:val="42"/>
              </w:numPr>
            </w:pPr>
            <w:r w:rsidRPr="00C60D73">
              <w:t xml:space="preserve">ugrađivanja dobara od strane dobavljača ili korišćenja dobara u zemlji u kojoj se nalazi mesto projekta; i </w:t>
            </w:r>
          </w:p>
          <w:p w:rsidR="00BD39C3" w:rsidRPr="00C60D73" w:rsidRDefault="00BD39C3" w:rsidP="00BD39C3">
            <w:pPr>
              <w:pStyle w:val="Heading3"/>
              <w:numPr>
                <w:ilvl w:val="2"/>
                <w:numId w:val="42"/>
              </w:numPr>
            </w:pPr>
            <w:r w:rsidRPr="00C60D73">
              <w:t xml:space="preserve">prodaje proizvoda u bilo kojoj zemlji koji je proizveden pomoću tih dobara. </w:t>
            </w:r>
          </w:p>
          <w:p w:rsidR="00BD39C3" w:rsidRPr="00C60D73" w:rsidRDefault="00BD39C3" w:rsidP="00B31C85">
            <w:pPr>
              <w:pStyle w:val="Heading3"/>
              <w:ind w:left="605"/>
            </w:pPr>
            <w:r w:rsidRPr="00C60D73">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BD39C3" w:rsidRPr="00C60D73" w:rsidRDefault="00BD39C3" w:rsidP="00BD39C3">
            <w:pPr>
              <w:pStyle w:val="Sub-ClauseText"/>
              <w:numPr>
                <w:ilvl w:val="1"/>
                <w:numId w:val="31"/>
              </w:numPr>
              <w:spacing w:before="0" w:after="200"/>
              <w:ind w:left="605"/>
              <w:rPr>
                <w:spacing w:val="0"/>
              </w:rPr>
            </w:pPr>
            <w:r w:rsidRPr="00C60D73">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BD39C3" w:rsidRPr="00C60D73" w:rsidRDefault="00BD39C3" w:rsidP="00BD39C3">
            <w:pPr>
              <w:pStyle w:val="Sub-ClauseText"/>
              <w:numPr>
                <w:ilvl w:val="1"/>
                <w:numId w:val="31"/>
              </w:numPr>
              <w:spacing w:before="0" w:after="200"/>
              <w:ind w:left="605"/>
              <w:rPr>
                <w:spacing w:val="0"/>
              </w:rPr>
            </w:pPr>
            <w:r w:rsidRPr="00C60D73">
              <w:rPr>
                <w:spacing w:val="0"/>
              </w:rPr>
              <w:t>Ukoliko dobavljač ne uspe da obavesti naručioca u roku od dvadeset osam (28) dana po prijemu takvog obaveštenja da namerava da sprovede takav postupak ili zahtev, tada je naručilac slobodan da isti sprovede u svoje ime.</w:t>
            </w:r>
          </w:p>
          <w:p w:rsidR="00BD39C3" w:rsidRPr="00C60D73" w:rsidRDefault="00BD39C3" w:rsidP="00BD39C3">
            <w:pPr>
              <w:pStyle w:val="Sub-ClauseText"/>
              <w:numPr>
                <w:ilvl w:val="1"/>
                <w:numId w:val="31"/>
              </w:numPr>
              <w:spacing w:before="0" w:after="200"/>
              <w:rPr>
                <w:spacing w:val="0"/>
              </w:rPr>
            </w:pPr>
            <w:r w:rsidRPr="00C60D73">
              <w:rPr>
                <w:spacing w:val="0"/>
              </w:rPr>
              <w:t>Naručilac po zahtevu dobavljača pruža svu raspoloživu pomoć dobavljaču u sprovođenju takvog postupka ili zahteva, a dobavljač mu nadoknađuje sve razumne izdatke koji su nastali tom prilikom.</w:t>
            </w:r>
          </w:p>
          <w:p w:rsidR="00BD39C3" w:rsidRPr="00C60D73" w:rsidRDefault="00BD39C3" w:rsidP="00BD39C3">
            <w:pPr>
              <w:pStyle w:val="Sub-ClauseText"/>
              <w:numPr>
                <w:ilvl w:val="1"/>
                <w:numId w:val="31"/>
              </w:numPr>
              <w:spacing w:before="0" w:after="200"/>
              <w:ind w:left="605" w:hanging="605"/>
              <w:rPr>
                <w:spacing w:val="0"/>
              </w:rPr>
            </w:pPr>
            <w:r w:rsidRPr="00C60D73">
              <w:rPr>
                <w:spacing w:val="0"/>
              </w:rPr>
              <w:t xml:space="preserve">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w:t>
            </w:r>
            <w:r w:rsidRPr="00C60D73">
              <w:rPr>
                <w:spacing w:val="0"/>
              </w:rPr>
              <w:lastRenderedPageBreak/>
              <w:t>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8" w:name="_Toc333312177"/>
            <w:r w:rsidRPr="00C60D73">
              <w:lastRenderedPageBreak/>
              <w:t>Ograničavanje obaveza</w:t>
            </w:r>
            <w:bookmarkEnd w:id="28"/>
          </w:p>
        </w:tc>
        <w:tc>
          <w:tcPr>
            <w:tcW w:w="6930" w:type="dxa"/>
          </w:tcPr>
          <w:p w:rsidR="00BD39C3" w:rsidRPr="00C60D73" w:rsidRDefault="00BD39C3" w:rsidP="00B31C85">
            <w:pPr>
              <w:pStyle w:val="Sub-ClauseText"/>
              <w:spacing w:before="0" w:after="200"/>
              <w:ind w:left="612" w:hanging="612"/>
              <w:rPr>
                <w:spacing w:val="0"/>
              </w:rPr>
            </w:pPr>
            <w:r w:rsidRPr="00C60D73">
              <w:rPr>
                <w:spacing w:val="0"/>
              </w:rPr>
              <w:t>29.1</w:t>
            </w:r>
            <w:r w:rsidRPr="00C60D73">
              <w:rPr>
                <w:spacing w:val="0"/>
              </w:rPr>
              <w:tab/>
              <w:t xml:space="preserve">Osim u slučajevima </w:t>
            </w:r>
            <w:r w:rsidR="00652E53" w:rsidRPr="00C60D73">
              <w:rPr>
                <w:spacing w:val="0"/>
              </w:rPr>
              <w:t>namerne povrede obaveza ili povrede obaveza iz nehata činjenjem ili nečinjenjem</w:t>
            </w:r>
            <w:r w:rsidRPr="00C60D73">
              <w:rPr>
                <w:spacing w:val="0"/>
              </w:rPr>
              <w:t xml:space="preserve">, </w:t>
            </w:r>
          </w:p>
          <w:p w:rsidR="00BD39C3" w:rsidRPr="00C60D73" w:rsidRDefault="00BD39C3" w:rsidP="00B31C85">
            <w:pPr>
              <w:spacing w:after="200"/>
              <w:ind w:left="1152" w:right="-72" w:hanging="540"/>
              <w:jc w:val="both"/>
            </w:pPr>
            <w:r w:rsidRPr="00C60D73">
              <w:t>(a)</w:t>
            </w:r>
            <w:r w:rsidRPr="00C60D73">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BD39C3" w:rsidRPr="00C60D73" w:rsidRDefault="00BD39C3" w:rsidP="00B31C85">
            <w:pPr>
              <w:tabs>
                <w:tab w:val="left" w:pos="540"/>
              </w:tabs>
              <w:suppressAutoHyphens/>
              <w:spacing w:after="200"/>
              <w:ind w:left="1152" w:right="-72" w:hanging="540"/>
              <w:jc w:val="both"/>
            </w:pPr>
            <w:r w:rsidRPr="00C60D73">
              <w:t>(b)</w:t>
            </w:r>
            <w:r w:rsidRPr="00C60D73">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9" w:name="_Toc333312178"/>
            <w:r w:rsidRPr="00C60D73">
              <w:t>Promene u zakonima i propisima</w:t>
            </w:r>
            <w:bookmarkEnd w:id="29"/>
          </w:p>
        </w:tc>
        <w:tc>
          <w:tcPr>
            <w:tcW w:w="6930" w:type="dxa"/>
          </w:tcPr>
          <w:p w:rsidR="00BD39C3" w:rsidRPr="00C60D73" w:rsidRDefault="00BD39C3" w:rsidP="00BD39C3">
            <w:pPr>
              <w:pStyle w:val="Sub-ClauseText"/>
              <w:numPr>
                <w:ilvl w:val="1"/>
                <w:numId w:val="32"/>
              </w:numPr>
              <w:spacing w:before="0" w:after="200"/>
              <w:ind w:left="605" w:hanging="605"/>
              <w:rPr>
                <w:spacing w:val="0"/>
              </w:rPr>
            </w:pPr>
            <w:r w:rsidRPr="00C60D73">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rPr>
                <w:i/>
              </w:rPr>
            </w:pPr>
            <w:bookmarkStart w:id="30" w:name="_Toc333312179"/>
            <w:r w:rsidRPr="00C60D73">
              <w:rPr>
                <w:i/>
              </w:rPr>
              <w:t>Vis maior</w:t>
            </w:r>
            <w:bookmarkEnd w:id="30"/>
          </w:p>
        </w:tc>
        <w:tc>
          <w:tcPr>
            <w:tcW w:w="6930" w:type="dxa"/>
          </w:tcPr>
          <w:p w:rsidR="00BD39C3" w:rsidRPr="00C60D73" w:rsidRDefault="00BD39C3" w:rsidP="00BD39C3">
            <w:pPr>
              <w:pStyle w:val="Sub-ClauseText"/>
              <w:numPr>
                <w:ilvl w:val="1"/>
                <w:numId w:val="33"/>
              </w:numPr>
              <w:spacing w:before="0" w:after="200"/>
              <w:ind w:left="605" w:hanging="605"/>
              <w:rPr>
                <w:spacing w:val="0"/>
              </w:rPr>
            </w:pPr>
            <w:r w:rsidRPr="00C60D73">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BD39C3" w:rsidRPr="00C60D73" w:rsidRDefault="00BD39C3" w:rsidP="00BD39C3">
            <w:pPr>
              <w:pStyle w:val="Sub-ClauseText"/>
              <w:numPr>
                <w:ilvl w:val="1"/>
                <w:numId w:val="33"/>
              </w:numPr>
              <w:spacing w:before="0" w:after="200"/>
              <w:ind w:left="605" w:hanging="605"/>
              <w:rPr>
                <w:spacing w:val="0"/>
              </w:rPr>
            </w:pPr>
            <w:r w:rsidRPr="00C60D73">
              <w:rPr>
                <w:spacing w:val="0"/>
              </w:rPr>
              <w:lastRenderedPageBreak/>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BD39C3" w:rsidRPr="00C60D73" w:rsidRDefault="00BD39C3" w:rsidP="00BD39C3">
            <w:pPr>
              <w:pStyle w:val="Sub-ClauseText"/>
              <w:numPr>
                <w:ilvl w:val="1"/>
                <w:numId w:val="33"/>
              </w:numPr>
              <w:spacing w:before="0" w:after="200"/>
              <w:ind w:left="605" w:hanging="605"/>
              <w:rPr>
                <w:spacing w:val="0"/>
              </w:rPr>
            </w:pPr>
            <w:r w:rsidRPr="00C60D73">
              <w:rPr>
                <w:spacing w:val="0"/>
              </w:rPr>
              <w:t xml:space="preserve">U slučaju situacije </w:t>
            </w:r>
            <w:r w:rsidRPr="00C60D73">
              <w:rPr>
                <w:i/>
                <w:spacing w:val="0"/>
              </w:rPr>
              <w:t>vis maior</w:t>
            </w:r>
            <w:r w:rsidRPr="00C60D73">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C60D73">
              <w:rPr>
                <w:i/>
                <w:spacing w:val="0"/>
              </w:rPr>
              <w:t>vis maior</w:t>
            </w:r>
            <w:r w:rsidRPr="00C60D73">
              <w:rPr>
                <w:spacing w:val="0"/>
              </w:rPr>
              <w:t xml:space="preserve"> događaj.</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1" w:name="_Toc333312180"/>
            <w:r w:rsidRPr="00C60D73">
              <w:lastRenderedPageBreak/>
              <w:t>Promena narudžbina i dopune ugovora</w:t>
            </w:r>
            <w:bookmarkEnd w:id="31"/>
          </w:p>
        </w:tc>
        <w:tc>
          <w:tcPr>
            <w:tcW w:w="6930" w:type="dxa"/>
          </w:tcPr>
          <w:p w:rsidR="00BD39C3" w:rsidRPr="00C60D73" w:rsidRDefault="00BD39C3" w:rsidP="00BD39C3">
            <w:pPr>
              <w:pStyle w:val="Sub-ClauseText"/>
              <w:numPr>
                <w:ilvl w:val="1"/>
                <w:numId w:val="34"/>
              </w:numPr>
              <w:spacing w:before="0" w:after="200"/>
              <w:rPr>
                <w:spacing w:val="0"/>
              </w:rPr>
            </w:pPr>
            <w:r w:rsidRPr="00C60D73">
              <w:rPr>
                <w:spacing w:val="0"/>
              </w:rPr>
              <w:t>Naručilac može u svakom trenutku da naloži dobavljaču, obaveštavajući ga u skladu sa uslovima OUU, klauzula 8, da se menja opšti obim ugovora u jednom ili više sledećih:</w:t>
            </w:r>
          </w:p>
          <w:p w:rsidR="00BD39C3" w:rsidRPr="00C60D73" w:rsidRDefault="00BD39C3" w:rsidP="00BD39C3">
            <w:pPr>
              <w:pStyle w:val="Heading3"/>
              <w:numPr>
                <w:ilvl w:val="2"/>
                <w:numId w:val="43"/>
              </w:numPr>
            </w:pPr>
            <w:r w:rsidRPr="00C60D73">
              <w:t>crteža, dizajna, ili specifikacija, gde se dobra koja se nabavljaju prema ugovoru posebno proizvode za naručioca;</w:t>
            </w:r>
          </w:p>
          <w:p w:rsidR="00BD39C3" w:rsidRPr="00C60D73" w:rsidRDefault="00BD39C3" w:rsidP="00BD39C3">
            <w:pPr>
              <w:pStyle w:val="Heading3"/>
              <w:numPr>
                <w:ilvl w:val="2"/>
                <w:numId w:val="43"/>
              </w:numPr>
              <w:spacing w:after="220"/>
            </w:pPr>
            <w:r w:rsidRPr="00C60D73">
              <w:t>količine poručene robe u skladu sa klauzulom 40.1 OUP i OPP;</w:t>
            </w:r>
          </w:p>
          <w:p w:rsidR="00BD39C3" w:rsidRPr="00C60D73" w:rsidRDefault="00BD39C3" w:rsidP="00BD39C3">
            <w:pPr>
              <w:pStyle w:val="Heading3"/>
              <w:numPr>
                <w:ilvl w:val="2"/>
                <w:numId w:val="43"/>
              </w:numPr>
              <w:spacing w:after="220"/>
            </w:pPr>
            <w:r w:rsidRPr="00C60D73">
              <w:t xml:space="preserve">način otpreme i pakovanja; </w:t>
            </w:r>
          </w:p>
          <w:p w:rsidR="00BD39C3" w:rsidRPr="00C60D73" w:rsidRDefault="00BD39C3" w:rsidP="00BD39C3">
            <w:pPr>
              <w:pStyle w:val="Heading3"/>
              <w:numPr>
                <w:ilvl w:val="2"/>
                <w:numId w:val="43"/>
              </w:numPr>
              <w:spacing w:after="220"/>
            </w:pPr>
            <w:r w:rsidRPr="00C60D73">
              <w:t>mesto isporuke; i</w:t>
            </w:r>
          </w:p>
          <w:p w:rsidR="00BD39C3" w:rsidRPr="00C60D73" w:rsidRDefault="00BD39C3" w:rsidP="00BD39C3">
            <w:pPr>
              <w:pStyle w:val="Heading3"/>
              <w:numPr>
                <w:ilvl w:val="2"/>
                <w:numId w:val="43"/>
              </w:numPr>
              <w:spacing w:after="220"/>
            </w:pPr>
            <w:r w:rsidRPr="00C60D73">
              <w:t>prateće usluge koje treba da obezbedi Dobavljač.</w:t>
            </w:r>
          </w:p>
          <w:p w:rsidR="00BD39C3" w:rsidRPr="00C60D73" w:rsidRDefault="00BD39C3" w:rsidP="00BD39C3">
            <w:pPr>
              <w:pStyle w:val="Sub-ClauseText"/>
              <w:numPr>
                <w:ilvl w:val="1"/>
                <w:numId w:val="34"/>
              </w:numPr>
              <w:spacing w:before="0" w:after="220"/>
              <w:ind w:left="605" w:hanging="605"/>
              <w:rPr>
                <w:spacing w:val="0"/>
              </w:rPr>
            </w:pPr>
            <w:r w:rsidRPr="00C60D73">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BD39C3" w:rsidRPr="00C60D73" w:rsidRDefault="00BD39C3" w:rsidP="00BD39C3">
            <w:pPr>
              <w:pStyle w:val="Sub-ClauseText"/>
              <w:numPr>
                <w:ilvl w:val="1"/>
                <w:numId w:val="34"/>
              </w:numPr>
              <w:spacing w:before="0" w:after="220"/>
              <w:ind w:left="605" w:hanging="605"/>
              <w:rPr>
                <w:spacing w:val="0"/>
              </w:rPr>
            </w:pPr>
            <w:r w:rsidRPr="00C60D73">
              <w:rPr>
                <w:spacing w:val="0"/>
              </w:rPr>
              <w:t>Cene koje će dobavljač navesti za svaku prateću uslugu koja možda bude potrebna ili nije obuhvaćena ugovorom, strane unapred dogovaraju i one ne prelaze iznose koje dobavljač naplaćuje od drugih strana za slične usluge.</w:t>
            </w:r>
          </w:p>
          <w:p w:rsidR="00BD39C3" w:rsidRPr="00C60D73" w:rsidRDefault="00BD39C3" w:rsidP="00652E53">
            <w:pPr>
              <w:pStyle w:val="Sub-ClauseText"/>
              <w:numPr>
                <w:ilvl w:val="1"/>
                <w:numId w:val="34"/>
              </w:numPr>
              <w:spacing w:before="0" w:after="220"/>
              <w:rPr>
                <w:spacing w:val="0"/>
              </w:rPr>
            </w:pPr>
            <w:r w:rsidRPr="00C60D73">
              <w:rPr>
                <w:spacing w:val="0"/>
              </w:rPr>
              <w:t xml:space="preserve">Podležući gorenavedenom, nijedna varijacija niti preinačenje uslova ugovora ne vrši se bez </w:t>
            </w:r>
            <w:r w:rsidR="00832D8F" w:rsidRPr="00C60D73">
              <w:rPr>
                <w:spacing w:val="0"/>
              </w:rPr>
              <w:t>aneksa ugovora</w:t>
            </w:r>
            <w:r w:rsidRPr="00C60D73">
              <w:rPr>
                <w:spacing w:val="0"/>
              </w:rPr>
              <w:t xml:space="preserve"> koju potpisuju obe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2" w:name="_Toc333312181"/>
            <w:r w:rsidRPr="00C60D73">
              <w:lastRenderedPageBreak/>
              <w:t>Produženje roka</w:t>
            </w:r>
            <w:bookmarkEnd w:id="32"/>
          </w:p>
        </w:tc>
        <w:tc>
          <w:tcPr>
            <w:tcW w:w="6930" w:type="dxa"/>
          </w:tcPr>
          <w:p w:rsidR="00BD39C3" w:rsidRPr="00C60D73" w:rsidRDefault="00BD39C3" w:rsidP="00BD39C3">
            <w:pPr>
              <w:pStyle w:val="Sub-ClauseText"/>
              <w:numPr>
                <w:ilvl w:val="1"/>
                <w:numId w:val="35"/>
              </w:numPr>
              <w:spacing w:before="0" w:after="240"/>
              <w:rPr>
                <w:spacing w:val="0"/>
              </w:rPr>
            </w:pPr>
            <w:r w:rsidRPr="00C60D73">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BD39C3" w:rsidRPr="00C60D73" w:rsidRDefault="00BD39C3" w:rsidP="00BD39C3">
            <w:pPr>
              <w:pStyle w:val="Sub-ClauseText"/>
              <w:numPr>
                <w:ilvl w:val="1"/>
                <w:numId w:val="35"/>
              </w:numPr>
              <w:spacing w:before="0" w:after="240"/>
              <w:ind w:left="605" w:hanging="605"/>
              <w:rPr>
                <w:spacing w:val="0"/>
              </w:rPr>
            </w:pPr>
            <w:r w:rsidRPr="00C60D73">
              <w:rPr>
                <w:spacing w:val="0"/>
              </w:rPr>
              <w:t xml:space="preserve">Osim u slučaju </w:t>
            </w:r>
            <w:r w:rsidRPr="00C60D73">
              <w:rPr>
                <w:i/>
                <w:spacing w:val="0"/>
              </w:rPr>
              <w:t>vis maior</w:t>
            </w:r>
            <w:r w:rsidRPr="00C60D73">
              <w:rPr>
                <w:spacing w:val="0"/>
              </w:rPr>
              <w:t>, kako je predviđeno uslovima OUU, klazula 31, kašnjenje dobavljača u izvršavanju obaveza isporučivanja i završetka čini dobavljača odgovornim za obavezu podmirenja šteta shodno uslovima OUU, klauzula 26, osim ako nije dogovoreno produženje roka, shodno uslovima OUU, potklauzula 33.1.</w:t>
            </w:r>
          </w:p>
        </w:tc>
      </w:tr>
      <w:tr w:rsidR="00BD39C3" w:rsidRPr="00C60D73" w:rsidTr="00B31C85">
        <w:trPr>
          <w:gridBefore w:val="1"/>
          <w:gridAfter w:val="1"/>
          <w:wBefore w:w="18" w:type="dxa"/>
          <w:wAfter w:w="18" w:type="dxa"/>
        </w:trPr>
        <w:tc>
          <w:tcPr>
            <w:tcW w:w="2250" w:type="dxa"/>
          </w:tcPr>
          <w:p w:rsidR="00BD39C3" w:rsidRPr="00C60D73" w:rsidRDefault="00814522" w:rsidP="00BD39C3">
            <w:pPr>
              <w:pStyle w:val="sec7-clauses"/>
              <w:numPr>
                <w:ilvl w:val="0"/>
                <w:numId w:val="12"/>
              </w:numPr>
              <w:spacing w:before="0" w:after="200"/>
            </w:pPr>
            <w:bookmarkStart w:id="33" w:name="_Toc333312182"/>
            <w:r w:rsidRPr="00C60D73">
              <w:t>Raskid</w:t>
            </w:r>
            <w:r w:rsidR="00BD39C3" w:rsidRPr="00C60D73">
              <w:t xml:space="preserve"> ugovora</w:t>
            </w:r>
            <w:bookmarkEnd w:id="33"/>
          </w:p>
        </w:tc>
        <w:tc>
          <w:tcPr>
            <w:tcW w:w="6930" w:type="dxa"/>
          </w:tcPr>
          <w:p w:rsidR="00BD39C3" w:rsidRPr="00C60D73" w:rsidRDefault="00814522" w:rsidP="00BD39C3">
            <w:pPr>
              <w:pStyle w:val="Sub-ClauseText"/>
              <w:numPr>
                <w:ilvl w:val="1"/>
                <w:numId w:val="36"/>
              </w:numPr>
              <w:spacing w:before="0" w:after="180"/>
              <w:rPr>
                <w:spacing w:val="0"/>
              </w:rPr>
            </w:pPr>
            <w:r w:rsidRPr="00C60D73">
              <w:rPr>
                <w:spacing w:val="0"/>
              </w:rPr>
              <w:t>Raskid</w:t>
            </w:r>
            <w:r w:rsidR="00BD39C3" w:rsidRPr="00C60D73">
              <w:rPr>
                <w:spacing w:val="0"/>
              </w:rPr>
              <w:t xml:space="preserve"> zbog neispunjenja</w:t>
            </w:r>
          </w:p>
          <w:p w:rsidR="00BD39C3" w:rsidRPr="00C60D73" w:rsidRDefault="00BD39C3" w:rsidP="00BD39C3">
            <w:pPr>
              <w:pStyle w:val="Heading3"/>
              <w:numPr>
                <w:ilvl w:val="2"/>
                <w:numId w:val="44"/>
              </w:numPr>
            </w:pPr>
            <w:r w:rsidRPr="00C60D73">
              <w:t xml:space="preserve">Naručilac, ne dovodeći u pitanje nijedno drugo sredstvo obeštećenja kod </w:t>
            </w:r>
            <w:r w:rsidR="00814522" w:rsidRPr="00C60D73">
              <w:t>kršenja ugovora, može da raskine</w:t>
            </w:r>
            <w:r w:rsidRPr="00C60D73">
              <w:t xml:space="preserve"> ugovor u celini ili delimično pisanim obaveštenjem o neispunjenju koje šalje dobavljaču:</w:t>
            </w:r>
          </w:p>
          <w:p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 xml:space="preserve">ukoliko dobavljač ne uspe da isporuči bilo koja ili sva dobra u periodu naznačenom u ugovoru ili u roku produženja koje je naručilac odobrio shodno uslovima OUU, klauzula 33; </w:t>
            </w:r>
          </w:p>
          <w:p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ukoliko dobavljač ne uspe da izvrši bilo koju drugu obavezu prema ugovoru; ili</w:t>
            </w:r>
          </w:p>
          <w:p w:rsidR="00BD39C3" w:rsidRPr="00C60D73" w:rsidRDefault="00BD39C3" w:rsidP="00BD39C3">
            <w:pPr>
              <w:pStyle w:val="Heading4"/>
              <w:numPr>
                <w:ilvl w:val="3"/>
                <w:numId w:val="45"/>
              </w:numPr>
              <w:tabs>
                <w:tab w:val="clear" w:pos="1901"/>
                <w:tab w:val="num" w:pos="1692"/>
              </w:tabs>
              <w:spacing w:before="0" w:after="200"/>
              <w:ind w:left="1685" w:hanging="504"/>
            </w:pPr>
            <w:r w:rsidRPr="00C60D73">
              <w:t>ukoliko je dobavljač, prema mišljenju naručioca umešan u prevaru ili korupciju, onako kako je to definisano u uslovima OUU, klauzula 3, pri nadmetanju za ili izvršavanju ugovora.</w:t>
            </w:r>
          </w:p>
          <w:p w:rsidR="00BD39C3" w:rsidRPr="00C60D73" w:rsidRDefault="00814522" w:rsidP="00BD39C3">
            <w:pPr>
              <w:pStyle w:val="Heading3"/>
              <w:numPr>
                <w:ilvl w:val="2"/>
                <w:numId w:val="44"/>
              </w:numPr>
            </w:pPr>
            <w:r w:rsidRPr="00C60D73">
              <w:t>U slučaju da naručilac raskine</w:t>
            </w:r>
            <w:r w:rsidR="00BD39C3" w:rsidRPr="00C60D73">
              <w:t xml:space="preserv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rsidR="00BD39C3" w:rsidRPr="00C60D73" w:rsidRDefault="00814522" w:rsidP="00BD39C3">
            <w:pPr>
              <w:pStyle w:val="Sub-ClauseText"/>
              <w:numPr>
                <w:ilvl w:val="1"/>
                <w:numId w:val="36"/>
              </w:numPr>
              <w:spacing w:before="0" w:after="200"/>
              <w:rPr>
                <w:spacing w:val="0"/>
              </w:rPr>
            </w:pPr>
            <w:r w:rsidRPr="00C60D73">
              <w:rPr>
                <w:spacing w:val="0"/>
              </w:rPr>
              <w:t>Raskid</w:t>
            </w:r>
            <w:r w:rsidR="00BD39C3" w:rsidRPr="00C60D73">
              <w:rPr>
                <w:spacing w:val="0"/>
              </w:rPr>
              <w:t xml:space="preserve"> zbog stečaja </w:t>
            </w:r>
          </w:p>
          <w:p w:rsidR="00BD39C3" w:rsidRPr="00C60D73" w:rsidRDefault="00BD39C3" w:rsidP="00BD39C3">
            <w:pPr>
              <w:pStyle w:val="Heading3"/>
              <w:numPr>
                <w:ilvl w:val="2"/>
                <w:numId w:val="46"/>
              </w:numPr>
            </w:pPr>
            <w:r w:rsidRPr="00C60D73">
              <w:t>Naručilac m</w:t>
            </w:r>
            <w:r w:rsidR="00814522" w:rsidRPr="00C60D73">
              <w:t>ože u svakom trenutku da raskine</w:t>
            </w:r>
            <w:r w:rsidRPr="00C60D73">
              <w:t xml:space="preserve"> ugovor obaveštavanjem dobavljača ukoliko dobavljač bankrotira </w:t>
            </w:r>
            <w:r w:rsidRPr="00C60D73">
              <w:lastRenderedPageBreak/>
              <w:t>ili postane insolventan na drugi n</w:t>
            </w:r>
            <w:r w:rsidR="00814522" w:rsidRPr="00C60D73">
              <w:t>ačin. U takvom slučaju se raskid</w:t>
            </w:r>
            <w:r w:rsidRPr="00C60D73">
              <w:t xml:space="preserve"> vrši bez nadoknade dobav</w:t>
            </w:r>
            <w:r w:rsidR="00814522" w:rsidRPr="00C60D73">
              <w:t>ljaču, pod uslovom da taj raskid</w:t>
            </w:r>
            <w:r w:rsidRPr="00C60D73">
              <w:t xml:space="preserve"> ne dovodi u pitanje ili ne utiče na bilo koje pravo na delovanje ili sredstvo od koga posledično tome naručilac ima koristi.</w:t>
            </w:r>
          </w:p>
          <w:p w:rsidR="00BD39C3" w:rsidRPr="00C60D73" w:rsidRDefault="00814522" w:rsidP="001021FA">
            <w:pPr>
              <w:pStyle w:val="Sub-ClauseText"/>
              <w:numPr>
                <w:ilvl w:val="1"/>
                <w:numId w:val="36"/>
              </w:numPr>
              <w:spacing w:before="0" w:after="200"/>
              <w:rPr>
                <w:spacing w:val="0"/>
              </w:rPr>
            </w:pPr>
            <w:r w:rsidRPr="00C60D73">
              <w:rPr>
                <w:spacing w:val="0"/>
              </w:rPr>
              <w:t>Raskid zbog promenjenih okolnosti</w:t>
            </w:r>
          </w:p>
          <w:p w:rsidR="001021FA" w:rsidRPr="00C60D73" w:rsidRDefault="001021FA" w:rsidP="001021FA">
            <w:pPr>
              <w:autoSpaceDE w:val="0"/>
              <w:autoSpaceDN w:val="0"/>
              <w:adjustRightInd w:val="0"/>
              <w:ind w:left="465" w:hanging="315"/>
              <w:jc w:val="both"/>
              <w:rPr>
                <w:color w:val="000000"/>
              </w:rPr>
            </w:pPr>
            <w:r w:rsidRPr="00C60D73">
              <w:rPr>
                <w:color w:val="000000"/>
              </w:rPr>
              <w:t>(a) Ako posle zaključenja ugovora nastupe okolnosti koje se nisu mogle predvideti, a koje otežavaju ispunjen</w:t>
            </w:r>
            <w:r w:rsidR="001268B7" w:rsidRPr="00C60D73">
              <w:rPr>
                <w:color w:val="000000"/>
              </w:rPr>
              <w:t>je obaveze jedne strane u toj m</w:t>
            </w:r>
            <w:r w:rsidRPr="00C60D73">
              <w:rPr>
                <w:color w:val="000000"/>
              </w:rPr>
              <w:t>eri da bi joj ispunjenje obaveze postalo preterano otežano ili bi joj takvo ispunjenje obaveze nanelo preterano veliki gubitak, sud može na zah</w:t>
            </w:r>
            <w:r w:rsidR="001268B7" w:rsidRPr="00C60D73">
              <w:rPr>
                <w:color w:val="000000"/>
              </w:rPr>
              <w:t>t</w:t>
            </w:r>
            <w:r w:rsidRPr="00C60D73">
              <w:rPr>
                <w:color w:val="000000"/>
              </w:rPr>
              <w:t>ev te strane izmeniti ili raskinuti ugovor.</w:t>
            </w:r>
          </w:p>
          <w:p w:rsidR="001021FA" w:rsidRPr="00C60D73" w:rsidRDefault="001021FA" w:rsidP="001021FA">
            <w:pPr>
              <w:autoSpaceDE w:val="0"/>
              <w:autoSpaceDN w:val="0"/>
              <w:adjustRightInd w:val="0"/>
              <w:ind w:left="465" w:hanging="315"/>
              <w:jc w:val="both"/>
              <w:rPr>
                <w:color w:val="000000"/>
              </w:rPr>
            </w:pPr>
            <w:r w:rsidRPr="00C60D73">
              <w:rPr>
                <w:color w:val="000000"/>
              </w:rPr>
              <w:t>(b) Izmena ili raskid ugovora ne može se zahtevati ako je strana koja se poziva na promenjene okolnosti bila dužna da u vreme zaključenja ugovora uzme u obzir te okolnosti ili ih je mogla izbeći ili savladati.</w:t>
            </w:r>
          </w:p>
          <w:p w:rsidR="001021FA" w:rsidRPr="00C60D73" w:rsidRDefault="001021FA" w:rsidP="001021FA">
            <w:pPr>
              <w:autoSpaceDE w:val="0"/>
              <w:autoSpaceDN w:val="0"/>
              <w:adjustRightInd w:val="0"/>
              <w:ind w:left="465" w:hanging="315"/>
              <w:jc w:val="both"/>
              <w:rPr>
                <w:color w:val="000000"/>
              </w:rPr>
            </w:pPr>
            <w:r w:rsidRPr="00C60D73">
              <w:rPr>
                <w:color w:val="000000"/>
              </w:rPr>
              <w:t>(c) Strana koja zahteva izmenu ili raskid ugovora ne može se pozivati na promenjene okolnosti koje su nastupile po isteku roka određenog za ispunjenje njene obaveze.</w:t>
            </w:r>
          </w:p>
          <w:p w:rsidR="001021FA" w:rsidRPr="00C60D73" w:rsidRDefault="001021FA" w:rsidP="001021FA">
            <w:pPr>
              <w:autoSpaceDE w:val="0"/>
              <w:autoSpaceDN w:val="0"/>
              <w:adjustRightInd w:val="0"/>
              <w:ind w:left="465" w:hanging="315"/>
              <w:jc w:val="both"/>
              <w:rPr>
                <w:color w:val="000000"/>
              </w:rPr>
            </w:pPr>
            <w:r w:rsidRPr="00C60D73">
              <w:rPr>
                <w:color w:val="000000"/>
              </w:rPr>
              <w:t>(d) Ugovor se neće raskinuti ako druga strana ponudi ili pristane da se odgovarajući uslovi ugovora pravično izmene.</w:t>
            </w:r>
          </w:p>
          <w:p w:rsidR="001D12F2" w:rsidRDefault="001021FA" w:rsidP="000420B0">
            <w:pPr>
              <w:autoSpaceDE w:val="0"/>
              <w:autoSpaceDN w:val="0"/>
              <w:adjustRightInd w:val="0"/>
              <w:ind w:left="465" w:hanging="315"/>
              <w:jc w:val="both"/>
            </w:pPr>
            <w:r w:rsidRPr="00C60D73">
              <w:t>(e) Ako izrekne raskid ugovora, sud će na zahtev druge strane obavezati stranu koja ga je zahtevala da naknadi drugoj strani pravičan deo štete koju trpi zbog toga.</w:t>
            </w:r>
          </w:p>
          <w:p w:rsidR="000420B0" w:rsidRDefault="000420B0" w:rsidP="000420B0">
            <w:pPr>
              <w:autoSpaceDE w:val="0"/>
              <w:autoSpaceDN w:val="0"/>
              <w:adjustRightInd w:val="0"/>
              <w:ind w:left="465" w:hanging="315"/>
              <w:jc w:val="both"/>
              <w:rPr>
                <w:color w:val="000000"/>
              </w:rPr>
            </w:pPr>
          </w:p>
          <w:p w:rsidR="00891B7B" w:rsidRPr="000420B0" w:rsidRDefault="00891B7B" w:rsidP="000420B0">
            <w:pPr>
              <w:autoSpaceDE w:val="0"/>
              <w:autoSpaceDN w:val="0"/>
              <w:adjustRightInd w:val="0"/>
              <w:ind w:left="465" w:hanging="315"/>
              <w:jc w:val="both"/>
              <w:rPr>
                <w:color w:val="000000"/>
              </w:rPr>
            </w:pP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4" w:name="_Toc333312183"/>
            <w:r w:rsidRPr="00C60D73">
              <w:lastRenderedPageBreak/>
              <w:t>Pr</w:t>
            </w:r>
            <w:bookmarkEnd w:id="34"/>
            <w:r w:rsidR="007501E2" w:rsidRPr="00C60D73">
              <w:t>eu</w:t>
            </w:r>
            <w:r w:rsidR="0050683A" w:rsidRPr="00C60D73">
              <w:t>zimanje duga</w:t>
            </w:r>
          </w:p>
        </w:tc>
        <w:tc>
          <w:tcPr>
            <w:tcW w:w="6930" w:type="dxa"/>
          </w:tcPr>
          <w:p w:rsidR="00BD39C3" w:rsidRPr="00C60D73" w:rsidRDefault="00BD39C3" w:rsidP="00BD39C3">
            <w:pPr>
              <w:pStyle w:val="Sub-ClauseText"/>
              <w:numPr>
                <w:ilvl w:val="1"/>
                <w:numId w:val="37"/>
              </w:numPr>
              <w:spacing w:before="0" w:after="200"/>
              <w:rPr>
                <w:spacing w:val="0"/>
              </w:rPr>
            </w:pPr>
            <w:r w:rsidRPr="00C60D73">
              <w:rPr>
                <w:spacing w:val="0"/>
              </w:rPr>
              <w:t>Ni naručilac ni dobavljač ne prenose, u celini ili delimično, svoje obaveze prema ugovoru, osim uz prethodnu pisanu saglasnost druge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5" w:name="_Toc333312184"/>
            <w:r w:rsidRPr="00C60D73">
              <w:t>Izvozna ograničenja</w:t>
            </w:r>
            <w:bookmarkEnd w:id="35"/>
          </w:p>
        </w:tc>
        <w:tc>
          <w:tcPr>
            <w:tcW w:w="6930" w:type="dxa"/>
          </w:tcPr>
          <w:p w:rsidR="00BD39C3" w:rsidRPr="00C60D73" w:rsidRDefault="00BD39C3" w:rsidP="00B31C85">
            <w:pPr>
              <w:autoSpaceDE w:val="0"/>
              <w:autoSpaceDN w:val="0"/>
              <w:adjustRightInd w:val="0"/>
              <w:spacing w:after="200" w:line="240" w:lineRule="atLeast"/>
              <w:ind w:left="612" w:hanging="612"/>
              <w:jc w:val="both"/>
            </w:pPr>
            <w:r w:rsidRPr="00C60D73">
              <w:t>36.1</w:t>
            </w:r>
            <w:r w:rsidRPr="00C60D73">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rsidR="00BD39C3" w:rsidRPr="00C60D73" w:rsidRDefault="00BD39C3" w:rsidP="00747C1F">
            <w:pPr>
              <w:spacing w:after="200"/>
              <w:ind w:left="612" w:hanging="612"/>
              <w:jc w:val="both"/>
            </w:pPr>
            <w:r w:rsidRPr="00C60D73">
              <w:t xml:space="preserve">36.2 </w:t>
            </w:r>
            <w:r w:rsidRPr="00C60D73">
              <w:tab/>
              <w:t xml:space="preserve">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w:t>
            </w:r>
            <w:r w:rsidRPr="00C60D73">
              <w:lastRenderedPageBreak/>
              <w:t>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tc>
      </w:tr>
    </w:tbl>
    <w:p w:rsidR="00747C1F" w:rsidRPr="00C60D73" w:rsidRDefault="00747C1F"/>
    <w:sectPr w:rsidR="00747C1F" w:rsidRPr="00C60D73" w:rsidSect="002702C7">
      <w:pgSz w:w="12240" w:h="15840"/>
      <w:pgMar w:top="1152"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ED3886"/>
    <w:multiLevelType w:val="hybridMultilevel"/>
    <w:tmpl w:val="3AD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3D95966"/>
    <w:multiLevelType w:val="singleLevel"/>
    <w:tmpl w:val="ED7A1628"/>
    <w:lvl w:ilvl="0">
      <w:start w:val="1"/>
      <w:numFmt w:val="decimal"/>
      <w:lvlText w:val="%1."/>
      <w:lvlJc w:val="left"/>
      <w:pPr>
        <w:tabs>
          <w:tab w:val="num" w:pos="360"/>
        </w:tabs>
        <w:ind w:left="360" w:hanging="360"/>
      </w:pPr>
    </w:lvl>
  </w:abstractNum>
  <w:abstractNum w:abstractNumId="43">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47"/>
  </w:num>
  <w:num w:numId="3">
    <w:abstractNumId w:val="0"/>
  </w:num>
  <w:num w:numId="4">
    <w:abstractNumId w:val="11"/>
  </w:num>
  <w:num w:numId="5">
    <w:abstractNumId w:val="12"/>
  </w:num>
  <w:num w:numId="6">
    <w:abstractNumId w:val="40"/>
  </w:num>
  <w:num w:numId="7">
    <w:abstractNumId w:val="39"/>
  </w:num>
  <w:num w:numId="8">
    <w:abstractNumId w:val="5"/>
  </w:num>
  <w:num w:numId="9">
    <w:abstractNumId w:val="19"/>
  </w:num>
  <w:num w:numId="10">
    <w:abstractNumId w:val="20"/>
  </w:num>
  <w:num w:numId="11">
    <w:abstractNumId w:val="23"/>
  </w:num>
  <w:num w:numId="12">
    <w:abstractNumId w:val="42"/>
  </w:num>
  <w:num w:numId="13">
    <w:abstractNumId w:val="34"/>
  </w:num>
  <w:num w:numId="14">
    <w:abstractNumId w:val="41"/>
  </w:num>
  <w:num w:numId="15">
    <w:abstractNumId w:val="33"/>
  </w:num>
  <w:num w:numId="16">
    <w:abstractNumId w:val="45"/>
  </w:num>
  <w:num w:numId="17">
    <w:abstractNumId w:val="9"/>
  </w:num>
  <w:num w:numId="18">
    <w:abstractNumId w:val="35"/>
  </w:num>
  <w:num w:numId="19">
    <w:abstractNumId w:val="26"/>
  </w:num>
  <w:num w:numId="20">
    <w:abstractNumId w:val="30"/>
  </w:num>
  <w:num w:numId="21">
    <w:abstractNumId w:val="31"/>
  </w:num>
  <w:num w:numId="22">
    <w:abstractNumId w:val="49"/>
  </w:num>
  <w:num w:numId="23">
    <w:abstractNumId w:val="48"/>
  </w:num>
  <w:num w:numId="24">
    <w:abstractNumId w:val="2"/>
  </w:num>
  <w:num w:numId="25">
    <w:abstractNumId w:val="3"/>
  </w:num>
  <w:num w:numId="26">
    <w:abstractNumId w:val="14"/>
  </w:num>
  <w:num w:numId="27">
    <w:abstractNumId w:val="46"/>
  </w:num>
  <w:num w:numId="28">
    <w:abstractNumId w:val="29"/>
  </w:num>
  <w:num w:numId="29">
    <w:abstractNumId w:val="22"/>
  </w:num>
  <w:num w:numId="30">
    <w:abstractNumId w:val="28"/>
  </w:num>
  <w:num w:numId="31">
    <w:abstractNumId w:val="32"/>
  </w:num>
  <w:num w:numId="32">
    <w:abstractNumId w:val="38"/>
  </w:num>
  <w:num w:numId="33">
    <w:abstractNumId w:val="37"/>
  </w:num>
  <w:num w:numId="34">
    <w:abstractNumId w:val="18"/>
  </w:num>
  <w:num w:numId="35">
    <w:abstractNumId w:val="16"/>
  </w:num>
  <w:num w:numId="36">
    <w:abstractNumId w:val="7"/>
  </w:num>
  <w:num w:numId="37">
    <w:abstractNumId w:val="25"/>
  </w:num>
  <w:num w:numId="38">
    <w:abstractNumId w:val="36"/>
  </w:num>
  <w:num w:numId="39">
    <w:abstractNumId w:val="15"/>
  </w:num>
  <w:num w:numId="40">
    <w:abstractNumId w:val="10"/>
  </w:num>
  <w:num w:numId="41">
    <w:abstractNumId w:val="6"/>
  </w:num>
  <w:num w:numId="42">
    <w:abstractNumId w:val="24"/>
  </w:num>
  <w:num w:numId="43">
    <w:abstractNumId w:val="1"/>
  </w:num>
  <w:num w:numId="44">
    <w:abstractNumId w:val="44"/>
  </w:num>
  <w:num w:numId="45">
    <w:abstractNumId w:val="43"/>
  </w:num>
  <w:num w:numId="46">
    <w:abstractNumId w:val="8"/>
  </w:num>
  <w:num w:numId="47">
    <w:abstractNumId w:val="4"/>
  </w:num>
  <w:num w:numId="48">
    <w:abstractNumId w:val="13"/>
  </w:num>
  <w:num w:numId="49">
    <w:abstractNumId w:val="17"/>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BD39C3"/>
    <w:rsid w:val="000420B0"/>
    <w:rsid w:val="000F6DEA"/>
    <w:rsid w:val="001021FA"/>
    <w:rsid w:val="001268B7"/>
    <w:rsid w:val="001D12F2"/>
    <w:rsid w:val="0021174C"/>
    <w:rsid w:val="00227E43"/>
    <w:rsid w:val="002702C7"/>
    <w:rsid w:val="003E58B9"/>
    <w:rsid w:val="005031BA"/>
    <w:rsid w:val="0050683A"/>
    <w:rsid w:val="005165AB"/>
    <w:rsid w:val="0051693A"/>
    <w:rsid w:val="00584129"/>
    <w:rsid w:val="00652E53"/>
    <w:rsid w:val="00667F9F"/>
    <w:rsid w:val="00683C6E"/>
    <w:rsid w:val="00696997"/>
    <w:rsid w:val="006A0B8B"/>
    <w:rsid w:val="006B6D30"/>
    <w:rsid w:val="00747C1F"/>
    <w:rsid w:val="007501E2"/>
    <w:rsid w:val="007E4119"/>
    <w:rsid w:val="00814522"/>
    <w:rsid w:val="00832D8F"/>
    <w:rsid w:val="00891B7B"/>
    <w:rsid w:val="00912B21"/>
    <w:rsid w:val="00AD3D6C"/>
    <w:rsid w:val="00AD775C"/>
    <w:rsid w:val="00B27A6E"/>
    <w:rsid w:val="00B31C85"/>
    <w:rsid w:val="00B5760E"/>
    <w:rsid w:val="00B8176D"/>
    <w:rsid w:val="00BB2544"/>
    <w:rsid w:val="00BD39C3"/>
    <w:rsid w:val="00C60D73"/>
    <w:rsid w:val="00DD53E4"/>
    <w:rsid w:val="00F65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C3"/>
    <w:pPr>
      <w:spacing w:after="0" w:line="240" w:lineRule="auto"/>
    </w:pPr>
    <w:rPr>
      <w:rFonts w:ascii="Times New Roman" w:eastAsia="Times New Roman" w:hAnsi="Times New Roman" w:cs="Times New Roman"/>
      <w:sz w:val="24"/>
      <w:szCs w:val="24"/>
      <w:lang w:val="sr-Latn-CS"/>
    </w:rPr>
  </w:style>
  <w:style w:type="paragraph" w:styleId="Heading3">
    <w:name w:val="heading 3"/>
    <w:aliases w:val="Sub-Clause Paragraph,Section Header3"/>
    <w:basedOn w:val="Normal"/>
    <w:next w:val="Normal"/>
    <w:link w:val="Heading3Char"/>
    <w:qFormat/>
    <w:rsid w:val="00BD39C3"/>
    <w:pPr>
      <w:spacing w:after="200"/>
      <w:ind w:left="576"/>
      <w:jc w:val="both"/>
      <w:outlineLvl w:val="2"/>
    </w:pPr>
  </w:style>
  <w:style w:type="paragraph" w:styleId="Heading4">
    <w:name w:val="heading 4"/>
    <w:aliases w:val="Sub-Clause Sub-paragraph"/>
    <w:basedOn w:val="Sub-ClauseText"/>
    <w:next w:val="Sub-ClauseText"/>
    <w:link w:val="Heading4Char"/>
    <w:qFormat/>
    <w:rsid w:val="00BD39C3"/>
    <w:pPr>
      <w:numPr>
        <w:ilvl w:val="3"/>
        <w:numId w:val="7"/>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BD39C3"/>
    <w:rPr>
      <w:rFonts w:ascii="Times New Roman" w:eastAsia="Times New Roman" w:hAnsi="Times New Roman" w:cs="Times New Roman"/>
      <w:sz w:val="24"/>
      <w:szCs w:val="24"/>
      <w:lang w:val="sr-Latn-CS"/>
    </w:rPr>
  </w:style>
  <w:style w:type="character" w:customStyle="1" w:styleId="Heading4Char">
    <w:name w:val="Heading 4 Char"/>
    <w:aliases w:val="Sub-Clause Sub-paragraph Char"/>
    <w:basedOn w:val="DefaultParagraphFont"/>
    <w:link w:val="Heading4"/>
    <w:rsid w:val="00BD39C3"/>
    <w:rPr>
      <w:rFonts w:ascii="Times New Roman" w:eastAsia="Times New Roman" w:hAnsi="Times New Roman" w:cs="Times New Roman"/>
      <w:spacing w:val="-4"/>
      <w:sz w:val="24"/>
      <w:szCs w:val="24"/>
      <w:lang w:val="sr-Latn-CS"/>
    </w:rPr>
  </w:style>
  <w:style w:type="paragraph" w:customStyle="1" w:styleId="Sub-ClauseText">
    <w:name w:val="Sub-Clause Text"/>
    <w:basedOn w:val="Normal"/>
    <w:rsid w:val="00BD39C3"/>
    <w:pPr>
      <w:spacing w:before="120" w:after="120"/>
      <w:jc w:val="both"/>
    </w:pPr>
    <w:rPr>
      <w:spacing w:val="-4"/>
    </w:rPr>
  </w:style>
  <w:style w:type="paragraph" w:customStyle="1" w:styleId="sec7-clauses">
    <w:name w:val="sec7-clauses"/>
    <w:basedOn w:val="Normal"/>
    <w:rsid w:val="00BD39C3"/>
    <w:pPr>
      <w:tabs>
        <w:tab w:val="num" w:pos="360"/>
      </w:tabs>
      <w:spacing w:before="120" w:after="120"/>
      <w:ind w:left="360" w:hanging="360"/>
    </w:pPr>
    <w:rPr>
      <w:b/>
      <w:bCs/>
    </w:rPr>
  </w:style>
  <w:style w:type="paragraph" w:styleId="ListParagraph">
    <w:name w:val="List Paragraph"/>
    <w:basedOn w:val="Normal"/>
    <w:uiPriority w:val="34"/>
    <w:qFormat/>
    <w:rsid w:val="00211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Kabinet</cp:lastModifiedBy>
  <cp:revision>2</cp:revision>
  <dcterms:created xsi:type="dcterms:W3CDTF">2016-10-04T11:35:00Z</dcterms:created>
  <dcterms:modified xsi:type="dcterms:W3CDTF">2016-10-04T11:35:00Z</dcterms:modified>
</cp:coreProperties>
</file>